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D2B9" w14:textId="77777777" w:rsidR="003A042D" w:rsidRPr="00735643" w:rsidRDefault="003A042D" w:rsidP="00962B6D">
      <w:pPr>
        <w:spacing w:after="0"/>
        <w:rPr>
          <w:b/>
          <w:bCs/>
        </w:rPr>
      </w:pPr>
    </w:p>
    <w:p w14:paraId="5ECC50F4" w14:textId="5F4A84E5" w:rsidR="00735643" w:rsidRPr="00735643" w:rsidRDefault="0041528B" w:rsidP="00962B6D">
      <w:pPr>
        <w:spacing w:after="0"/>
        <w:jc w:val="center"/>
        <w:rPr>
          <w:b/>
          <w:bCs/>
          <w:sz w:val="52"/>
          <w:szCs w:val="52"/>
        </w:rPr>
      </w:pPr>
      <w:r w:rsidRPr="00735643">
        <w:rPr>
          <w:b/>
          <w:bCs/>
          <w:sz w:val="52"/>
          <w:szCs w:val="52"/>
        </w:rPr>
        <w:t>Rhodes Scholarship</w:t>
      </w:r>
    </w:p>
    <w:p w14:paraId="634A68A1" w14:textId="0DC80554" w:rsidR="0041528B" w:rsidRDefault="00735643" w:rsidP="00962B6D">
      <w:pPr>
        <w:spacing w:after="0"/>
        <w:jc w:val="center"/>
        <w:rPr>
          <w:b/>
          <w:bCs/>
          <w:spacing w:val="6"/>
          <w:sz w:val="28"/>
          <w:szCs w:val="28"/>
        </w:rPr>
      </w:pPr>
      <w:r w:rsidRPr="00735643">
        <w:rPr>
          <w:b/>
          <w:bCs/>
          <w:spacing w:val="6"/>
          <w:sz w:val="28"/>
          <w:szCs w:val="28"/>
        </w:rPr>
        <w:t xml:space="preserve">CHECKLIST </w:t>
      </w:r>
      <w:r w:rsidR="00615CD1">
        <w:rPr>
          <w:b/>
          <w:bCs/>
          <w:spacing w:val="6"/>
          <w:sz w:val="28"/>
          <w:szCs w:val="28"/>
        </w:rPr>
        <w:t>for</w:t>
      </w:r>
      <w:r w:rsidRPr="00735643">
        <w:rPr>
          <w:b/>
          <w:bCs/>
          <w:spacing w:val="6"/>
          <w:sz w:val="28"/>
          <w:szCs w:val="28"/>
        </w:rPr>
        <w:t xml:space="preserve"> UVIC APPLICANTS</w:t>
      </w:r>
      <w:r w:rsidR="0025391C">
        <w:rPr>
          <w:b/>
          <w:bCs/>
          <w:spacing w:val="6"/>
          <w:sz w:val="28"/>
          <w:szCs w:val="28"/>
        </w:rPr>
        <w:t xml:space="preserve"> </w:t>
      </w:r>
      <w:r w:rsidR="00615CD1">
        <w:rPr>
          <w:b/>
          <w:bCs/>
          <w:spacing w:val="6"/>
          <w:sz w:val="28"/>
          <w:szCs w:val="28"/>
        </w:rPr>
        <w:t>to CONSTITUENC</w:t>
      </w:r>
      <w:r w:rsidR="00CA6B32">
        <w:rPr>
          <w:b/>
          <w:bCs/>
          <w:spacing w:val="6"/>
          <w:sz w:val="28"/>
          <w:szCs w:val="28"/>
        </w:rPr>
        <w:t>IES OUTSIDE CANADA</w:t>
      </w:r>
    </w:p>
    <w:p w14:paraId="5797D5D3" w14:textId="7CBE8C47" w:rsidR="00680E9D" w:rsidRPr="00735643" w:rsidRDefault="00680E9D" w:rsidP="00962B6D">
      <w:pPr>
        <w:spacing w:after="0"/>
        <w:jc w:val="center"/>
        <w:rPr>
          <w:b/>
          <w:bCs/>
          <w:spacing w:val="6"/>
          <w:sz w:val="28"/>
          <w:szCs w:val="28"/>
        </w:rPr>
      </w:pPr>
      <w:r>
        <w:t xml:space="preserve">2024 competition for studies at the University of Oxford to begin fall </w:t>
      </w:r>
      <w:proofErr w:type="gramStart"/>
      <w:r>
        <w:t>2025</w:t>
      </w:r>
      <w:proofErr w:type="gramEnd"/>
    </w:p>
    <w:p w14:paraId="4BBBFEFC" w14:textId="77777777" w:rsidR="001B7B0E" w:rsidRDefault="001B7B0E" w:rsidP="00962B6D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4DD6" w14:paraId="46C56B97" w14:textId="77777777" w:rsidTr="009D4DD6">
        <w:tc>
          <w:tcPr>
            <w:tcW w:w="9350" w:type="dxa"/>
          </w:tcPr>
          <w:p w14:paraId="4B96B3EB" w14:textId="77777777" w:rsidR="009D4DD6" w:rsidRDefault="009D4DD6" w:rsidP="00962B6D"/>
          <w:p w14:paraId="784BC3AC" w14:textId="2D589B35" w:rsidR="009D4DD6" w:rsidRDefault="009D4DD6" w:rsidP="00962B6D">
            <w:r w:rsidRPr="00F4595B">
              <w:t>While every effort has been made to provide accurate information, please refer to the program material published by</w:t>
            </w:r>
            <w:r>
              <w:t xml:space="preserve"> the</w:t>
            </w:r>
            <w:r w:rsidRPr="00F4595B">
              <w:t xml:space="preserve"> </w:t>
            </w:r>
            <w:hyperlink r:id="rId8" w:history="1">
              <w:r>
                <w:rPr>
                  <w:rStyle w:val="Hyperlink"/>
                </w:rPr>
                <w:t>Rhodes Trust</w:t>
              </w:r>
            </w:hyperlink>
            <w:r w:rsidRPr="00F4595B">
              <w:t xml:space="preserve"> as your primary source of information.</w:t>
            </w:r>
          </w:p>
          <w:p w14:paraId="365744D9" w14:textId="77777777" w:rsidR="009D4DD6" w:rsidRDefault="009D4DD6" w:rsidP="00962B6D"/>
          <w:p w14:paraId="2B6D2D84" w14:textId="5CFECB6A" w:rsidR="003557B4" w:rsidRPr="003557B4" w:rsidRDefault="003557B4" w:rsidP="00962B6D">
            <w:r w:rsidRPr="003557B4">
              <w:t>Accessibility statement:  This checklist is available in Microsoft Word, Portable Document Format (PDF), and other formats upon request.</w:t>
            </w:r>
          </w:p>
          <w:p w14:paraId="2603D807" w14:textId="77777777" w:rsidR="003557B4" w:rsidRDefault="003557B4" w:rsidP="00962B6D"/>
          <w:p w14:paraId="4355836E" w14:textId="47D1F9AD" w:rsidR="009D4DD6" w:rsidRDefault="009D4DD6" w:rsidP="00962B6D">
            <w:r>
              <w:t>Questions about this competition can be directed to Lisa Pender, Scholarship Officer</w:t>
            </w:r>
            <w:r w:rsidR="00E924C0">
              <w:t xml:space="preserve"> by email </w:t>
            </w:r>
            <w:hyperlink r:id="rId9" w:history="1">
              <w:r w:rsidR="00E924C0" w:rsidRPr="003C0479">
                <w:rPr>
                  <w:rStyle w:val="Hyperlink"/>
                </w:rPr>
                <w:t>fgsaward2@uvic.ca</w:t>
              </w:r>
            </w:hyperlink>
            <w:r w:rsidR="00E924C0">
              <w:t>, telephone</w:t>
            </w:r>
            <w:r>
              <w:t>r (250) 721-6167</w:t>
            </w:r>
            <w:r w:rsidR="00E924C0">
              <w:t>, or visit Jamie Cassels Centre room A207.</w:t>
            </w:r>
          </w:p>
          <w:p w14:paraId="39D54BB0" w14:textId="47C3F331" w:rsidR="009D4DD6" w:rsidRDefault="009D4DD6" w:rsidP="00962B6D"/>
        </w:tc>
      </w:tr>
    </w:tbl>
    <w:p w14:paraId="3D36357C" w14:textId="77777777" w:rsidR="006A2A65" w:rsidRDefault="006A2A65" w:rsidP="00962B6D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356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7A33A2" w14:paraId="3657A420" w14:textId="77777777" w:rsidTr="00B6230E">
        <w:trPr>
          <w:trHeight w:val="466"/>
        </w:trPr>
        <w:tc>
          <w:tcPr>
            <w:tcW w:w="4253" w:type="dxa"/>
            <w:shd w:val="clear" w:color="auto" w:fill="BDD6EE" w:themeFill="accent5" w:themeFillTint="66"/>
            <w:vAlign w:val="center"/>
          </w:tcPr>
          <w:p w14:paraId="0188FEF6" w14:textId="739A29C9" w:rsidR="006A2A65" w:rsidRPr="00CD123B" w:rsidRDefault="0098737D" w:rsidP="00B6230E">
            <w:pPr>
              <w:ind w:left="57"/>
              <w:rPr>
                <w:b/>
                <w:bCs/>
                <w:spacing w:val="18"/>
              </w:rPr>
            </w:pPr>
            <w:bookmarkStart w:id="0" w:name="_Hlk131677883"/>
            <w:r w:rsidRPr="00CD123B">
              <w:rPr>
                <w:b/>
                <w:bCs/>
                <w:spacing w:val="18"/>
              </w:rPr>
              <w:t>TIMELINE</w:t>
            </w:r>
            <w:r w:rsidR="008B0E1F">
              <w:rPr>
                <w:b/>
                <w:bCs/>
                <w:spacing w:val="18"/>
              </w:rPr>
              <w:t xml:space="preserve">:  </w:t>
            </w:r>
            <w:r w:rsidR="008B0E1F">
              <w:rPr>
                <w:b/>
                <w:bCs/>
              </w:rPr>
              <w:t>Global</w:t>
            </w:r>
            <w:r w:rsidR="008B0E1F" w:rsidRPr="008B0E1F">
              <w:rPr>
                <w:b/>
                <w:bCs/>
              </w:rPr>
              <w:t xml:space="preserve"> Constituency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FA9C90D" w14:textId="77777777" w:rsidR="006A2A65" w:rsidRPr="00CD123B" w:rsidRDefault="006A2A65" w:rsidP="00B6230E">
            <w:pPr>
              <w:ind w:left="57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2F9305F0" w14:textId="77777777" w:rsidR="006A2A65" w:rsidRPr="00CD123B" w:rsidRDefault="006A2A65" w:rsidP="00B6230E">
            <w:pPr>
              <w:ind w:left="57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Deadline</w:t>
            </w:r>
          </w:p>
        </w:tc>
      </w:tr>
      <w:tr w:rsidR="007A33A2" w14:paraId="6607F5BE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5B403498" w14:textId="7D9C260F" w:rsidR="006A2A65" w:rsidRPr="00C94732" w:rsidRDefault="006A2A65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 xml:space="preserve">Rhodes online </w:t>
            </w:r>
            <w:r w:rsidR="007A33A2">
              <w:rPr>
                <w:sz w:val="20"/>
                <w:szCs w:val="20"/>
              </w:rPr>
              <w:t xml:space="preserve">application </w:t>
            </w:r>
            <w:r w:rsidRPr="00C94732">
              <w:rPr>
                <w:sz w:val="20"/>
                <w:szCs w:val="20"/>
              </w:rPr>
              <w:t>portal</w:t>
            </w:r>
            <w:r w:rsidR="007A33A2">
              <w:rPr>
                <w:sz w:val="20"/>
                <w:szCs w:val="20"/>
              </w:rPr>
              <w:t xml:space="preserve"> opens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92E844F" w14:textId="4D1DEAB2" w:rsidR="006A2A65" w:rsidRPr="00C94732" w:rsidRDefault="006A2A65" w:rsidP="00B6230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896A36B" w14:textId="276B59B5" w:rsidR="006A2A65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3, 2024</w:t>
            </w:r>
          </w:p>
        </w:tc>
      </w:tr>
      <w:tr w:rsidR="007A33A2" w14:paraId="35B3F768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5A6B6ADD" w14:textId="37B573E3" w:rsidR="008B0E1F" w:rsidRPr="00C94732" w:rsidRDefault="006A2A65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UVic internal deadline</w:t>
            </w:r>
            <w:r>
              <w:rPr>
                <w:sz w:val="20"/>
                <w:szCs w:val="20"/>
              </w:rPr>
              <w:t xml:space="preserve"> for endorsement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2578AD4" w14:textId="08C77329" w:rsidR="008B0E1F" w:rsidRPr="003B40B9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6375B52A" w14:textId="448683A0" w:rsidR="008B0E1F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8, 2024</w:t>
            </w:r>
          </w:p>
        </w:tc>
      </w:tr>
      <w:tr w:rsidR="007A33A2" w14:paraId="44299568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542720E1" w14:textId="4B60C066" w:rsidR="006A2A65" w:rsidRPr="00C94732" w:rsidRDefault="006A2A65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inter-jurisdictional eligibility check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C25383E" w14:textId="5A865E5E" w:rsidR="006A2A65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7C898E6B" w14:textId="5E024255" w:rsidR="006A2A65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later than 2 weeks prior to </w:t>
            </w:r>
            <w:r w:rsidR="00C16071">
              <w:rPr>
                <w:sz w:val="20"/>
                <w:szCs w:val="20"/>
              </w:rPr>
              <w:t>August 1, 2024</w:t>
            </w:r>
          </w:p>
        </w:tc>
      </w:tr>
      <w:tr w:rsidR="005A67CD" w14:paraId="521B1736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05039B7C" w14:textId="70D32E9C" w:rsidR="008B0E1F" w:rsidRPr="00C94732" w:rsidRDefault="005A67CD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advised of UVic endorsement (nomination) outcome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8805B3F" w14:textId="77777777" w:rsidR="008B0E1F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924C0">
              <w:rPr>
                <w:sz w:val="20"/>
                <w:szCs w:val="20"/>
              </w:rPr>
              <w:t>aculty of</w:t>
            </w:r>
          </w:p>
          <w:p w14:paraId="76709E57" w14:textId="5DD83399" w:rsidR="00E924C0" w:rsidRDefault="00E924C0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Studies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59775595" w14:textId="0F1FA304" w:rsidR="008B0E1F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19, 2024</w:t>
            </w:r>
          </w:p>
        </w:tc>
      </w:tr>
      <w:tr w:rsidR="00BD2404" w14:paraId="0B592359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03EAC2B4" w14:textId="2E2EA167" w:rsidR="00BD2404" w:rsidRPr="00C94732" w:rsidRDefault="00BD240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Rhodes deadline for Global constituency eligibility check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03C3733" w14:textId="6C6309A7" w:rsidR="00BD2404" w:rsidRDefault="00BD240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11E8822" w14:textId="2965232F" w:rsidR="00BD2404" w:rsidRDefault="00BD240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later than 2 business days prior to </w:t>
            </w:r>
            <w:r w:rsidR="00505576">
              <w:rPr>
                <w:sz w:val="20"/>
                <w:szCs w:val="20"/>
              </w:rPr>
              <w:t>August 1, 2024</w:t>
            </w:r>
          </w:p>
        </w:tc>
      </w:tr>
      <w:tr w:rsidR="007A33A2" w14:paraId="7959B2FC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11AADDA4" w14:textId="60D1B1EC" w:rsidR="006A2A65" w:rsidRPr="00C94732" w:rsidRDefault="006A2A65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application submission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3059898" w14:textId="031EFA33" w:rsidR="006A2A65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C5A2568" w14:textId="714E2E3C" w:rsidR="006A2A65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 GMT</w:t>
            </w:r>
            <w:r w:rsidR="00B62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 1, 2024</w:t>
            </w:r>
          </w:p>
        </w:tc>
      </w:tr>
      <w:tr w:rsidR="007A33A2" w14:paraId="0B569E9A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01347432" w14:textId="77777777" w:rsidR="006A2A65" w:rsidRPr="00C94732" w:rsidRDefault="006A2A65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letters of reference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545A6560" w14:textId="691491EC" w:rsidR="006A2A65" w:rsidRPr="00C94732" w:rsidRDefault="00917E21" w:rsidP="00917E2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8779A">
              <w:rPr>
                <w:sz w:val="20"/>
                <w:szCs w:val="20"/>
              </w:rPr>
              <w:t>eferees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511AC724" w14:textId="335BB519" w:rsidR="006A2A65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 GMT</w:t>
            </w:r>
            <w:r w:rsidR="00B62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 1, 2024</w:t>
            </w:r>
          </w:p>
        </w:tc>
      </w:tr>
      <w:tr w:rsidR="007A33A2" w14:paraId="60BC70BE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150F2A5A" w14:textId="77777777" w:rsidR="006A2A65" w:rsidRPr="00C94732" w:rsidRDefault="006A2A65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endorsement letter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0863807" w14:textId="77777777" w:rsidR="00F6345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63452">
              <w:rPr>
                <w:sz w:val="20"/>
                <w:szCs w:val="20"/>
              </w:rPr>
              <w:t>aculty of</w:t>
            </w:r>
          </w:p>
          <w:p w14:paraId="01D87F36" w14:textId="649A5A47" w:rsidR="006A2A65" w:rsidRPr="00C94732" w:rsidRDefault="00F63452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Studies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3C0A667" w14:textId="79F09E53" w:rsidR="006A2A65" w:rsidRPr="00C94732" w:rsidRDefault="0018779A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 GMT</w:t>
            </w:r>
            <w:r w:rsidR="00B62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 1, 2024</w:t>
            </w:r>
          </w:p>
        </w:tc>
      </w:tr>
      <w:bookmarkEnd w:id="0"/>
    </w:tbl>
    <w:p w14:paraId="4CEED5B2" w14:textId="77777777" w:rsidR="006A2A65" w:rsidRDefault="006A2A65" w:rsidP="00B6230E">
      <w:pPr>
        <w:spacing w:after="0"/>
        <w:ind w:left="57"/>
      </w:pPr>
    </w:p>
    <w:tbl>
      <w:tblPr>
        <w:tblStyle w:val="TableGrid"/>
        <w:tblW w:w="9356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8B0E1F" w14:paraId="56D1D92B" w14:textId="77777777" w:rsidTr="00B6230E">
        <w:trPr>
          <w:trHeight w:val="466"/>
        </w:trPr>
        <w:tc>
          <w:tcPr>
            <w:tcW w:w="4253" w:type="dxa"/>
            <w:shd w:val="clear" w:color="auto" w:fill="BDD6EE" w:themeFill="accent5" w:themeFillTint="66"/>
            <w:vAlign w:val="center"/>
          </w:tcPr>
          <w:p w14:paraId="75912BBF" w14:textId="77777777" w:rsidR="008B0E1F" w:rsidRPr="00CD123B" w:rsidRDefault="008B0E1F" w:rsidP="00B6230E">
            <w:pPr>
              <w:ind w:left="57"/>
              <w:rPr>
                <w:b/>
                <w:bCs/>
                <w:spacing w:val="18"/>
              </w:rPr>
            </w:pPr>
            <w:r w:rsidRPr="00CD123B">
              <w:rPr>
                <w:b/>
                <w:bCs/>
                <w:spacing w:val="18"/>
              </w:rPr>
              <w:t>TIMELINE</w:t>
            </w:r>
            <w:r>
              <w:rPr>
                <w:b/>
                <w:bCs/>
                <w:spacing w:val="18"/>
              </w:rPr>
              <w:t xml:space="preserve">:  </w:t>
            </w:r>
            <w:r w:rsidRPr="008B0E1F">
              <w:rPr>
                <w:b/>
                <w:bCs/>
              </w:rPr>
              <w:t>United States Constituency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5D482ACE" w14:textId="77777777" w:rsidR="008B0E1F" w:rsidRPr="00CD123B" w:rsidRDefault="008B0E1F" w:rsidP="00B6230E">
            <w:pPr>
              <w:ind w:left="57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349F1ABF" w14:textId="77777777" w:rsidR="008B0E1F" w:rsidRPr="00CD123B" w:rsidRDefault="008B0E1F" w:rsidP="00B6230E">
            <w:pPr>
              <w:ind w:left="57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Deadline</w:t>
            </w:r>
          </w:p>
        </w:tc>
      </w:tr>
      <w:tr w:rsidR="008B0E1F" w14:paraId="2E2EEF1F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4B8520E9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 xml:space="preserve">Rhodes online </w:t>
            </w:r>
            <w:r>
              <w:rPr>
                <w:sz w:val="20"/>
                <w:szCs w:val="20"/>
              </w:rPr>
              <w:t xml:space="preserve">application </w:t>
            </w:r>
            <w:r w:rsidRPr="00C94732">
              <w:rPr>
                <w:sz w:val="20"/>
                <w:szCs w:val="20"/>
              </w:rPr>
              <w:t>portal</w:t>
            </w:r>
            <w:r>
              <w:rPr>
                <w:sz w:val="20"/>
                <w:szCs w:val="20"/>
              </w:rPr>
              <w:t xml:space="preserve"> opens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D4C5FC3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602A2DF" w14:textId="0BDE603A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2024</w:t>
            </w:r>
          </w:p>
        </w:tc>
      </w:tr>
      <w:tr w:rsidR="008B0E1F" w14:paraId="043E4EA1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5998553F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UVic internal deadline</w:t>
            </w:r>
            <w:r>
              <w:rPr>
                <w:sz w:val="20"/>
                <w:szCs w:val="20"/>
              </w:rPr>
              <w:t xml:space="preserve"> for endorsement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40B3BAF" w14:textId="5C6AC668" w:rsidR="008B0E1F" w:rsidRPr="003B40B9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7DFD94B1" w14:textId="45192956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10, 2024</w:t>
            </w:r>
          </w:p>
        </w:tc>
      </w:tr>
      <w:tr w:rsidR="008B0E1F" w14:paraId="42EFEECA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655B2192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inter-jurisdictional eligibility check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423C8E2" w14:textId="11939DDC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BDE870E" w14:textId="1DECE284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later than 2 weeks prior to </w:t>
            </w:r>
            <w:r w:rsidR="00505576">
              <w:rPr>
                <w:sz w:val="20"/>
                <w:szCs w:val="20"/>
              </w:rPr>
              <w:t>October 2, 2024</w:t>
            </w:r>
          </w:p>
        </w:tc>
      </w:tr>
      <w:tr w:rsidR="008B0E1F" w14:paraId="06A307A7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09A898E6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advised of UVic endorsement (nomination) outcome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D83B2CF" w14:textId="77777777" w:rsidR="008B0E1F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63452">
              <w:rPr>
                <w:sz w:val="20"/>
                <w:szCs w:val="20"/>
              </w:rPr>
              <w:t>aculty of</w:t>
            </w:r>
          </w:p>
          <w:p w14:paraId="23FE570B" w14:textId="716D30C8" w:rsidR="00F63452" w:rsidRDefault="00F63452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Studies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6F5E1045" w14:textId="7E24B178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17, 2024</w:t>
            </w:r>
          </w:p>
        </w:tc>
      </w:tr>
      <w:tr w:rsidR="008B0E1F" w14:paraId="499D6B84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37694A64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application submission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5D57A50F" w14:textId="64D19ABD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6641C46" w14:textId="7E3116BC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 Eastern</w:t>
            </w:r>
            <w:r w:rsidR="00B62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 2, 2024</w:t>
            </w:r>
          </w:p>
        </w:tc>
      </w:tr>
      <w:tr w:rsidR="008B0E1F" w14:paraId="67B28D0E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373288BC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letters of reference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8B46FB6" w14:textId="3A2058FD" w:rsidR="008B0E1F" w:rsidRPr="00C94732" w:rsidRDefault="00F63452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86944">
              <w:rPr>
                <w:sz w:val="20"/>
                <w:szCs w:val="20"/>
              </w:rPr>
              <w:t>eferees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2D2E63AC" w14:textId="5339CD3E" w:rsidR="008B0E1F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 Eastern</w:t>
            </w:r>
            <w:r w:rsidR="00B62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 2, 2024</w:t>
            </w:r>
          </w:p>
        </w:tc>
      </w:tr>
      <w:tr w:rsidR="008B0E1F" w14:paraId="73D0FCE7" w14:textId="77777777" w:rsidTr="00B6230E">
        <w:tc>
          <w:tcPr>
            <w:tcW w:w="4253" w:type="dxa"/>
            <w:shd w:val="clear" w:color="auto" w:fill="DEEAF6" w:themeFill="accent5" w:themeFillTint="33"/>
            <w:vAlign w:val="center"/>
          </w:tcPr>
          <w:p w14:paraId="47DA4E8B" w14:textId="77777777" w:rsidR="008B0E1F" w:rsidRPr="00C94732" w:rsidRDefault="008B0E1F" w:rsidP="00B6230E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endorsement letter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D9DF2EC" w14:textId="77777777" w:rsidR="008B0E1F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63452">
              <w:rPr>
                <w:sz w:val="20"/>
                <w:szCs w:val="20"/>
              </w:rPr>
              <w:t>aculty of</w:t>
            </w:r>
          </w:p>
          <w:p w14:paraId="1D03F906" w14:textId="33A5F47C" w:rsidR="00F63452" w:rsidRPr="00C94732" w:rsidRDefault="00F63452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Studies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C751C71" w14:textId="324FF4EF" w:rsidR="00C86944" w:rsidRPr="00C94732" w:rsidRDefault="00C86944" w:rsidP="00B6230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 Eastern</w:t>
            </w:r>
            <w:r w:rsidR="00B62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 2, 2024</w:t>
            </w:r>
          </w:p>
        </w:tc>
      </w:tr>
    </w:tbl>
    <w:p w14:paraId="72BD2487" w14:textId="77777777" w:rsidR="008B0E1F" w:rsidRDefault="008B0E1F" w:rsidP="00962B6D">
      <w:pPr>
        <w:spacing w:after="0"/>
      </w:pPr>
    </w:p>
    <w:tbl>
      <w:tblPr>
        <w:tblStyle w:val="TableGrid"/>
        <w:tblW w:w="9356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253"/>
        <w:gridCol w:w="1701"/>
        <w:gridCol w:w="3402"/>
      </w:tblGrid>
      <w:tr w:rsidR="0018779A" w14:paraId="07770361" w14:textId="77777777" w:rsidTr="00BD2404">
        <w:trPr>
          <w:trHeight w:val="466"/>
        </w:trPr>
        <w:tc>
          <w:tcPr>
            <w:tcW w:w="4253" w:type="dxa"/>
            <w:shd w:val="clear" w:color="auto" w:fill="BDD6EE" w:themeFill="accent5" w:themeFillTint="66"/>
            <w:vAlign w:val="center"/>
          </w:tcPr>
          <w:p w14:paraId="16789624" w14:textId="5917A27C" w:rsidR="0018779A" w:rsidRPr="00CD123B" w:rsidRDefault="0018779A" w:rsidP="005A0897">
            <w:pPr>
              <w:ind w:left="57"/>
              <w:rPr>
                <w:b/>
                <w:bCs/>
                <w:spacing w:val="18"/>
              </w:rPr>
            </w:pPr>
            <w:r w:rsidRPr="00CD123B">
              <w:rPr>
                <w:b/>
                <w:bCs/>
                <w:spacing w:val="18"/>
              </w:rPr>
              <w:lastRenderedPageBreak/>
              <w:t>TIMELINE</w:t>
            </w:r>
            <w:r>
              <w:rPr>
                <w:b/>
                <w:bCs/>
                <w:spacing w:val="18"/>
              </w:rPr>
              <w:t xml:space="preserve">:  </w:t>
            </w:r>
            <w:r>
              <w:rPr>
                <w:b/>
                <w:bCs/>
              </w:rPr>
              <w:t>Other</w:t>
            </w:r>
            <w:r w:rsidRPr="008B0E1F">
              <w:rPr>
                <w:b/>
                <w:bCs/>
              </w:rPr>
              <w:t xml:space="preserve"> Constituenc</w:t>
            </w:r>
            <w:r>
              <w:rPr>
                <w:b/>
                <w:bCs/>
              </w:rPr>
              <w:t>ies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2B24A4F1" w14:textId="77777777" w:rsidR="0018779A" w:rsidRPr="00CD123B" w:rsidRDefault="0018779A" w:rsidP="005A0897">
            <w:pPr>
              <w:ind w:left="57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37D87E6E" w14:textId="77777777" w:rsidR="0018779A" w:rsidRPr="00CD123B" w:rsidRDefault="0018779A" w:rsidP="005A0897">
            <w:pPr>
              <w:ind w:left="57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Deadline</w:t>
            </w:r>
          </w:p>
        </w:tc>
      </w:tr>
      <w:tr w:rsidR="0018779A" w14:paraId="4C1219B7" w14:textId="77777777" w:rsidTr="00BD2404">
        <w:tc>
          <w:tcPr>
            <w:tcW w:w="4253" w:type="dxa"/>
            <w:shd w:val="clear" w:color="auto" w:fill="DEEAF6" w:themeFill="accent5" w:themeFillTint="33"/>
            <w:vAlign w:val="center"/>
          </w:tcPr>
          <w:p w14:paraId="7BC9434D" w14:textId="77777777" w:rsidR="0018779A" w:rsidRPr="00C94732" w:rsidRDefault="0018779A" w:rsidP="005A0897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 xml:space="preserve">Rhodes online </w:t>
            </w:r>
            <w:r>
              <w:rPr>
                <w:sz w:val="20"/>
                <w:szCs w:val="20"/>
              </w:rPr>
              <w:t xml:space="preserve">application </w:t>
            </w:r>
            <w:r w:rsidRPr="00C94732">
              <w:rPr>
                <w:sz w:val="20"/>
                <w:szCs w:val="20"/>
              </w:rPr>
              <w:t>portal</w:t>
            </w:r>
            <w:r>
              <w:rPr>
                <w:sz w:val="20"/>
                <w:szCs w:val="20"/>
              </w:rPr>
              <w:t xml:space="preserve"> opens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2ABDF4D" w14:textId="77777777" w:rsidR="0018779A" w:rsidRDefault="0018779A" w:rsidP="005A0897">
            <w:pPr>
              <w:ind w:left="57"/>
              <w:rPr>
                <w:sz w:val="20"/>
                <w:szCs w:val="20"/>
              </w:rPr>
            </w:pPr>
          </w:p>
          <w:p w14:paraId="7327E179" w14:textId="77777777" w:rsidR="00E95145" w:rsidRPr="00E95145" w:rsidRDefault="00E95145" w:rsidP="005A089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5C01CC93" w14:textId="6286A918" w:rsidR="003D287B" w:rsidRPr="003D287B" w:rsidRDefault="00BD2404" w:rsidP="00BD24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</w:t>
            </w:r>
            <w:r w:rsidRPr="00BD2404">
              <w:rPr>
                <w:i/>
                <w:iCs/>
                <w:sz w:val="20"/>
                <w:szCs w:val="20"/>
              </w:rPr>
              <w:t>Information for Candidates</w:t>
            </w:r>
            <w:r>
              <w:rPr>
                <w:sz w:val="20"/>
                <w:szCs w:val="20"/>
              </w:rPr>
              <w:t xml:space="preserve"> for your constituency</w:t>
            </w:r>
          </w:p>
        </w:tc>
      </w:tr>
      <w:tr w:rsidR="00BD2404" w14:paraId="3A5A09B1" w14:textId="77777777" w:rsidTr="00BD2404">
        <w:tc>
          <w:tcPr>
            <w:tcW w:w="4253" w:type="dxa"/>
            <w:shd w:val="clear" w:color="auto" w:fill="DEEAF6" w:themeFill="accent5" w:themeFillTint="33"/>
            <w:vAlign w:val="center"/>
          </w:tcPr>
          <w:p w14:paraId="74703F45" w14:textId="46E2FAB1" w:rsidR="00BD2404" w:rsidRPr="00C94732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UVic internal deadline for endorsement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383926" w14:textId="786FB7D1" w:rsidR="00BD2404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34F51CAE" w14:textId="2ECECD77" w:rsidR="00BD2404" w:rsidRDefault="00BD2404" w:rsidP="00BD24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18779A" w14:paraId="71E0B67F" w14:textId="77777777" w:rsidTr="00BD2404">
        <w:tc>
          <w:tcPr>
            <w:tcW w:w="4253" w:type="dxa"/>
            <w:shd w:val="clear" w:color="auto" w:fill="DEEAF6" w:themeFill="accent5" w:themeFillTint="33"/>
            <w:vAlign w:val="center"/>
          </w:tcPr>
          <w:p w14:paraId="4432A9BE" w14:textId="77777777" w:rsidR="0018779A" w:rsidRPr="00C94732" w:rsidRDefault="0018779A" w:rsidP="005A0897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inter-jurisdictional eligibility check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6A6AE32" w14:textId="5849F4D2" w:rsidR="0018779A" w:rsidRPr="00C94732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23759BA4" w14:textId="14930DAF" w:rsidR="0018779A" w:rsidRPr="00C94732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later than 2 weeks prior to the Rhodes application submission deadline for your constituency</w:t>
            </w:r>
          </w:p>
        </w:tc>
      </w:tr>
      <w:tr w:rsidR="0018779A" w14:paraId="1B44B20C" w14:textId="77777777" w:rsidTr="00BD2404">
        <w:tc>
          <w:tcPr>
            <w:tcW w:w="4253" w:type="dxa"/>
            <w:shd w:val="clear" w:color="auto" w:fill="DEEAF6" w:themeFill="accent5" w:themeFillTint="33"/>
            <w:vAlign w:val="center"/>
          </w:tcPr>
          <w:p w14:paraId="3C40A2BC" w14:textId="77777777" w:rsidR="0018779A" w:rsidRPr="00C94732" w:rsidRDefault="0018779A" w:rsidP="005A0897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application submission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6AFC9BC" w14:textId="3555248E" w:rsidR="0018779A" w:rsidRPr="00C94732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70DAF70D" w14:textId="7EFFE15D" w:rsidR="0018779A" w:rsidRPr="00C94732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</w:t>
            </w:r>
            <w:r w:rsidRPr="00BD2404">
              <w:rPr>
                <w:i/>
                <w:iCs/>
                <w:sz w:val="20"/>
                <w:szCs w:val="20"/>
              </w:rPr>
              <w:t>Information for Candidates</w:t>
            </w:r>
            <w:r>
              <w:rPr>
                <w:sz w:val="20"/>
                <w:szCs w:val="20"/>
              </w:rPr>
              <w:t xml:space="preserve"> for your constituency</w:t>
            </w:r>
          </w:p>
        </w:tc>
      </w:tr>
      <w:tr w:rsidR="0018779A" w14:paraId="64A78DE2" w14:textId="77777777" w:rsidTr="00BD2404">
        <w:tc>
          <w:tcPr>
            <w:tcW w:w="4253" w:type="dxa"/>
            <w:shd w:val="clear" w:color="auto" w:fill="DEEAF6" w:themeFill="accent5" w:themeFillTint="33"/>
            <w:vAlign w:val="center"/>
          </w:tcPr>
          <w:p w14:paraId="356F47CF" w14:textId="77777777" w:rsidR="0018779A" w:rsidRPr="00C94732" w:rsidRDefault="0018779A" w:rsidP="005A0897">
            <w:pPr>
              <w:ind w:left="57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letters of reference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92294B0" w14:textId="70A4FD46" w:rsidR="0018779A" w:rsidRPr="00C94732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Referees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0EAED82A" w14:textId="29B44384" w:rsidR="0018779A" w:rsidRPr="00C94732" w:rsidRDefault="00BD2404" w:rsidP="005A0897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</w:t>
            </w:r>
            <w:r w:rsidRPr="00BD2404">
              <w:rPr>
                <w:i/>
                <w:iCs/>
                <w:sz w:val="20"/>
                <w:szCs w:val="20"/>
              </w:rPr>
              <w:t>Guidance for Referees</w:t>
            </w:r>
            <w:r>
              <w:rPr>
                <w:sz w:val="20"/>
                <w:szCs w:val="20"/>
              </w:rPr>
              <w:t xml:space="preserve"> for your constituency</w:t>
            </w:r>
          </w:p>
        </w:tc>
      </w:tr>
    </w:tbl>
    <w:p w14:paraId="7692B75C" w14:textId="77777777" w:rsidR="008B0E1F" w:rsidRDefault="008B0E1F" w:rsidP="001F086E">
      <w:pPr>
        <w:spacing w:after="0"/>
      </w:pPr>
    </w:p>
    <w:p w14:paraId="3DABC4FC" w14:textId="6483E920" w:rsidR="00BD3679" w:rsidRPr="004E2012" w:rsidRDefault="00E632A6" w:rsidP="00477319">
      <w:pPr>
        <w:spacing w:after="120"/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</w:t>
      </w:r>
      <w:r w:rsidR="009F42C7">
        <w:rPr>
          <w:b/>
          <w:bCs/>
          <w:sz w:val="24"/>
          <w:szCs w:val="24"/>
        </w:rPr>
        <w:t>I</w:t>
      </w:r>
      <w:r w:rsidR="009D4DD6">
        <w:rPr>
          <w:b/>
          <w:bCs/>
          <w:sz w:val="24"/>
          <w:szCs w:val="24"/>
        </w:rPr>
        <w:t>dentify your Rhodes constituency</w:t>
      </w:r>
      <w:r w:rsidR="004E2012">
        <w:rPr>
          <w:b/>
          <w:bCs/>
          <w:sz w:val="24"/>
          <w:szCs w:val="24"/>
        </w:rPr>
        <w:t xml:space="preserve">.  </w:t>
      </w:r>
      <w:r w:rsidR="00ED07D8">
        <w:t xml:space="preserve">Rhodes Scholarships are administered by </w:t>
      </w:r>
      <w:r w:rsidR="00752E5D" w:rsidRPr="00962B6D">
        <w:t>constituencies</w:t>
      </w:r>
      <w:r w:rsidR="00ED07D8">
        <w:t xml:space="preserve"> (</w:t>
      </w:r>
      <w:r w:rsidR="00E42486">
        <w:t>country/</w:t>
      </w:r>
      <w:r w:rsidR="00ED07D8">
        <w:t>region</w:t>
      </w:r>
      <w:r w:rsidR="001B3ECE">
        <w:t>)</w:t>
      </w:r>
      <w:r w:rsidR="00ED07D8">
        <w:t xml:space="preserve"> </w:t>
      </w:r>
      <w:r w:rsidR="00752E5D">
        <w:t>with</w:t>
      </w:r>
      <w:r w:rsidR="00ED07D8">
        <w:t xml:space="preserve"> different eligibility criteria and application deadlines.</w:t>
      </w:r>
      <w:r w:rsidR="007D07BD">
        <w:t xml:space="preserve">  </w:t>
      </w:r>
      <w:r w:rsidR="005046C9">
        <w:t>You</w:t>
      </w:r>
      <w:r w:rsidR="007D07BD">
        <w:t xml:space="preserve"> may only apply to one constituency.</w:t>
      </w:r>
      <w:r w:rsidR="004E2012">
        <w:t xml:space="preserve">  Students eligible for more than one constituency should apply to the constituency with which they have the greatest connection.</w:t>
      </w:r>
    </w:p>
    <w:p w14:paraId="4768436C" w14:textId="77777777" w:rsidR="004E2012" w:rsidRPr="004E2012" w:rsidRDefault="00ED07D8" w:rsidP="004E2012">
      <w:pPr>
        <w:pStyle w:val="ListParagraph"/>
        <w:numPr>
          <w:ilvl w:val="0"/>
          <w:numId w:val="30"/>
        </w:numPr>
        <w:spacing w:after="0"/>
        <w:rPr>
          <w:b/>
          <w:bCs/>
          <w:sz w:val="24"/>
          <w:szCs w:val="24"/>
        </w:rPr>
      </w:pPr>
      <w:r w:rsidRPr="004E2012">
        <w:rPr>
          <w:b/>
          <w:bCs/>
        </w:rPr>
        <w:t>Domestic students</w:t>
      </w:r>
      <w:r>
        <w:t xml:space="preserve"> (Canadian citizen</w:t>
      </w:r>
      <w:r w:rsidR="00D7354F">
        <w:t>s</w:t>
      </w:r>
      <w:r>
        <w:t xml:space="preserve">, </w:t>
      </w:r>
      <w:r w:rsidR="00752E5D">
        <w:t>P</w:t>
      </w:r>
      <w:r>
        <w:t xml:space="preserve">ermanent </w:t>
      </w:r>
      <w:r w:rsidR="00752E5D">
        <w:t>R</w:t>
      </w:r>
      <w:r>
        <w:t>esident</w:t>
      </w:r>
      <w:r w:rsidR="00D7354F">
        <w:t>s</w:t>
      </w:r>
      <w:r>
        <w:t>, or Protected Person</w:t>
      </w:r>
      <w:r w:rsidR="00D7354F">
        <w:t>s</w:t>
      </w:r>
      <w:r>
        <w:t xml:space="preserve">) </w:t>
      </w:r>
      <w:r w:rsidR="00752E5D">
        <w:t xml:space="preserve">may be </w:t>
      </w:r>
      <w:r>
        <w:t xml:space="preserve">eligible to apply through the </w:t>
      </w:r>
      <w:hyperlink r:id="rId10" w:history="1">
        <w:r w:rsidR="005046C9">
          <w:rPr>
            <w:rStyle w:val="Hyperlink"/>
          </w:rPr>
          <w:t>Canada constituency</w:t>
        </w:r>
      </w:hyperlink>
      <w:r>
        <w:t>.</w:t>
      </w:r>
    </w:p>
    <w:p w14:paraId="3439BC53" w14:textId="77777777" w:rsidR="004E2012" w:rsidRPr="004E2012" w:rsidRDefault="00ED07D8" w:rsidP="00962B6D">
      <w:pPr>
        <w:pStyle w:val="ListParagraph"/>
        <w:numPr>
          <w:ilvl w:val="0"/>
          <w:numId w:val="30"/>
        </w:numPr>
        <w:spacing w:after="0"/>
        <w:rPr>
          <w:rStyle w:val="Hyperlink"/>
          <w:b/>
          <w:bCs/>
          <w:color w:val="auto"/>
          <w:sz w:val="24"/>
          <w:szCs w:val="24"/>
          <w:u w:val="none"/>
        </w:rPr>
      </w:pPr>
      <w:r w:rsidRPr="004E2012">
        <w:rPr>
          <w:b/>
          <w:bCs/>
        </w:rPr>
        <w:t>International students</w:t>
      </w:r>
      <w:r>
        <w:t xml:space="preserve"> </w:t>
      </w:r>
      <w:r w:rsidR="00752E5D">
        <w:t>may be eligible to apply through a</w:t>
      </w:r>
      <w:r>
        <w:t xml:space="preserve"> Rhodes </w:t>
      </w:r>
      <w:hyperlink r:id="rId11" w:history="1">
        <w:r w:rsidRPr="00365771">
          <w:rPr>
            <w:rStyle w:val="Hyperlink"/>
          </w:rPr>
          <w:t>constituency</w:t>
        </w:r>
      </w:hyperlink>
      <w:r>
        <w:t xml:space="preserve"> </w:t>
      </w:r>
      <w:r w:rsidR="00752E5D">
        <w:t xml:space="preserve">associated with their citizenship or through the </w:t>
      </w:r>
      <w:hyperlink r:id="rId12" w:history="1">
        <w:r w:rsidR="00752E5D">
          <w:rPr>
            <w:rStyle w:val="Hyperlink"/>
          </w:rPr>
          <w:t>Global constituency</w:t>
        </w:r>
      </w:hyperlink>
      <w:r w:rsidR="00752E5D">
        <w:rPr>
          <w:rStyle w:val="Hyperlink"/>
        </w:rPr>
        <w:t>.</w:t>
      </w:r>
    </w:p>
    <w:p w14:paraId="5E6BD8BA" w14:textId="76E10826" w:rsidR="00962B6D" w:rsidRPr="004E2012" w:rsidRDefault="001E5A06" w:rsidP="00962B6D">
      <w:pPr>
        <w:pStyle w:val="ListParagraph"/>
        <w:numPr>
          <w:ilvl w:val="0"/>
          <w:numId w:val="30"/>
        </w:numPr>
        <w:spacing w:after="0"/>
        <w:rPr>
          <w:b/>
          <w:bCs/>
          <w:sz w:val="24"/>
          <w:szCs w:val="24"/>
        </w:rPr>
      </w:pPr>
      <w:r>
        <w:t>Students who are connected to a constituency but do not meet a</w:t>
      </w:r>
      <w:r w:rsidR="001134D8">
        <w:t>l</w:t>
      </w:r>
      <w:r>
        <w:t xml:space="preserve">l of the eligibility criteria </w:t>
      </w:r>
      <w:r w:rsidR="00AB061A">
        <w:t>should explore the option</w:t>
      </w:r>
      <w:r w:rsidR="00F350F2">
        <w:t xml:space="preserve"> of</w:t>
      </w:r>
      <w:r w:rsidR="00AB061A">
        <w:t xml:space="preserve"> </w:t>
      </w:r>
      <w:hyperlink r:id="rId13" w:history="1">
        <w:r w:rsidR="00AB061A">
          <w:rPr>
            <w:rStyle w:val="Hyperlink"/>
          </w:rPr>
          <w:t>inter-jurisdictional consideration</w:t>
        </w:r>
      </w:hyperlink>
      <w:r w:rsidR="00645F6E">
        <w:t>.</w:t>
      </w:r>
      <w:r w:rsidR="00962B6D">
        <w:t xml:space="preserve">  </w:t>
      </w:r>
    </w:p>
    <w:p w14:paraId="679F63CD" w14:textId="77777777" w:rsidR="004E2012" w:rsidRDefault="004E2012" w:rsidP="00962B6D">
      <w:pPr>
        <w:spacing w:after="0"/>
        <w:rPr>
          <w:b/>
          <w:bCs/>
          <w:i/>
          <w:iCs/>
        </w:rPr>
      </w:pPr>
    </w:p>
    <w:p w14:paraId="7B4ABA6F" w14:textId="77777777" w:rsidR="00DB0A92" w:rsidRDefault="00DB0A92" w:rsidP="00DB0A92">
      <w:pPr>
        <w:spacing w:after="0"/>
        <w:jc w:val="center"/>
        <w:rPr>
          <w:i/>
          <w:iCs/>
        </w:rPr>
      </w:pPr>
      <w:r w:rsidRPr="00DB0A92">
        <w:rPr>
          <w:i/>
          <w:iCs/>
        </w:rPr>
        <w:t>If you determine that your Rhodes constituency is Canada, follow the instructions in</w:t>
      </w:r>
    </w:p>
    <w:p w14:paraId="2C3AA49F" w14:textId="25C5621A" w:rsidR="00DB0A92" w:rsidRPr="00DB0A92" w:rsidRDefault="00DB0A92" w:rsidP="00DB0A92">
      <w:pPr>
        <w:spacing w:after="0"/>
        <w:jc w:val="center"/>
        <w:rPr>
          <w:i/>
          <w:iCs/>
        </w:rPr>
      </w:pPr>
      <w:r>
        <w:rPr>
          <w:i/>
          <w:iCs/>
        </w:rPr>
        <w:t>t</w:t>
      </w:r>
      <w:r w:rsidRPr="00DB0A92">
        <w:rPr>
          <w:i/>
          <w:iCs/>
        </w:rPr>
        <w:t>he</w:t>
      </w:r>
      <w:r>
        <w:rPr>
          <w:i/>
          <w:iCs/>
        </w:rPr>
        <w:t xml:space="preserve"> </w:t>
      </w:r>
      <w:r w:rsidRPr="00DB0A92">
        <w:rPr>
          <w:b/>
          <w:bCs/>
          <w:i/>
          <w:iCs/>
        </w:rPr>
        <w:t>Rhodes Scholarship Checklist for UVic Applicants to the Canada Constituency</w:t>
      </w:r>
    </w:p>
    <w:p w14:paraId="0617BB90" w14:textId="77777777" w:rsidR="00DB0A92" w:rsidRDefault="00DB0A92" w:rsidP="00962B6D">
      <w:pPr>
        <w:spacing w:after="0"/>
        <w:rPr>
          <w:b/>
          <w:bCs/>
          <w:i/>
          <w:iCs/>
        </w:rPr>
      </w:pPr>
    </w:p>
    <w:p w14:paraId="3E2F5D01" w14:textId="63F305A4" w:rsidR="00E42486" w:rsidRDefault="00E42486" w:rsidP="001F086E">
      <w:pPr>
        <w:spacing w:after="0"/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 w:rsidRPr="000D5CB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Identify your r</w:t>
      </w:r>
      <w:r w:rsidRPr="000D5CB9">
        <w:rPr>
          <w:b/>
          <w:bCs/>
          <w:sz w:val="24"/>
          <w:szCs w:val="24"/>
        </w:rPr>
        <w:t>egion of application</w:t>
      </w:r>
      <w:r w:rsidR="001F086E">
        <w:rPr>
          <w:b/>
          <w:bCs/>
          <w:sz w:val="24"/>
          <w:szCs w:val="24"/>
        </w:rPr>
        <w:t xml:space="preserve"> (if applicable)</w:t>
      </w:r>
      <w:r w:rsidR="00BD3679">
        <w:rPr>
          <w:b/>
          <w:bCs/>
          <w:sz w:val="24"/>
          <w:szCs w:val="24"/>
        </w:rPr>
        <w:t xml:space="preserve">.  </w:t>
      </w:r>
      <w:r w:rsidR="001F086E">
        <w:t>Some constituencies have different regions of application (e.g., the United States constituency has 16 regional selection committees)</w:t>
      </w:r>
      <w:r>
        <w:t>.</w:t>
      </w:r>
      <w:r w:rsidR="001F086E">
        <w:t xml:space="preserve">  Consult the information for your constituency to determine whether you must identify a region of application.</w:t>
      </w:r>
    </w:p>
    <w:p w14:paraId="05B0DA7E" w14:textId="77777777" w:rsidR="001F086E" w:rsidRDefault="001F086E" w:rsidP="001F086E">
      <w:pPr>
        <w:spacing w:after="0"/>
      </w:pPr>
    </w:p>
    <w:p w14:paraId="611E281D" w14:textId="095A0C38" w:rsidR="00F27108" w:rsidRPr="00477319" w:rsidRDefault="00E632A6" w:rsidP="00962B6D">
      <w:pPr>
        <w:spacing w:after="0"/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 w:rsidRPr="00477319">
        <w:rPr>
          <w:b/>
          <w:bCs/>
          <w:sz w:val="24"/>
          <w:szCs w:val="24"/>
        </w:rPr>
        <w:t xml:space="preserve">  </w:t>
      </w:r>
      <w:r w:rsidR="00B76CC7" w:rsidRPr="00477319">
        <w:rPr>
          <w:b/>
          <w:bCs/>
          <w:sz w:val="24"/>
          <w:szCs w:val="24"/>
        </w:rPr>
        <w:t>Check your eligibility</w:t>
      </w:r>
      <w:r w:rsidR="00477319" w:rsidRPr="00477319">
        <w:rPr>
          <w:b/>
          <w:bCs/>
          <w:sz w:val="24"/>
          <w:szCs w:val="24"/>
        </w:rPr>
        <w:t xml:space="preserve">.  </w:t>
      </w:r>
      <w:r w:rsidR="00477319">
        <w:t xml:space="preserve">Consult </w:t>
      </w:r>
      <w:r w:rsidR="001F086E">
        <w:t>the</w:t>
      </w:r>
      <w:r w:rsidR="00477319">
        <w:t xml:space="preserve"> </w:t>
      </w:r>
      <w:r w:rsidR="00477319" w:rsidRPr="001F086E">
        <w:t xml:space="preserve">Information for Candidates </w:t>
      </w:r>
      <w:r w:rsidR="001F086E">
        <w:t>guide for your constituency</w:t>
      </w:r>
      <w:r w:rsidR="00477319">
        <w:t xml:space="preserve"> to ensure you meet the eligibility criteria including citizenship, residence, and age.</w:t>
      </w:r>
    </w:p>
    <w:p w14:paraId="33BA3226" w14:textId="0E78F8A7" w:rsidR="009D4DD6" w:rsidRPr="00C94732" w:rsidRDefault="009D4DD6" w:rsidP="00477319">
      <w:pPr>
        <w:pStyle w:val="ListParagraph"/>
        <w:numPr>
          <w:ilvl w:val="0"/>
          <w:numId w:val="31"/>
        </w:numPr>
        <w:spacing w:after="0"/>
      </w:pPr>
      <w:r w:rsidRPr="00C94732">
        <w:t xml:space="preserve">Complete the Rhodes Scholarship </w:t>
      </w:r>
      <w:hyperlink r:id="rId14" w:history="1">
        <w:r w:rsidRPr="00C94732">
          <w:rPr>
            <w:rStyle w:val="Hyperlink"/>
          </w:rPr>
          <w:t>eligibility checker</w:t>
        </w:r>
      </w:hyperlink>
    </w:p>
    <w:p w14:paraId="4FFB303C" w14:textId="51E7EA6B" w:rsidR="00873A13" w:rsidRPr="00E632A6" w:rsidRDefault="009D4DD6" w:rsidP="00477319">
      <w:pPr>
        <w:pStyle w:val="ListParagraph"/>
        <w:numPr>
          <w:ilvl w:val="0"/>
          <w:numId w:val="31"/>
        </w:numPr>
        <w:spacing w:after="0"/>
      </w:pPr>
      <w:r w:rsidRPr="00C94732">
        <w:t xml:space="preserve">Confirm </w:t>
      </w:r>
      <w:r w:rsidR="00873A13" w:rsidRPr="00C94732">
        <w:t xml:space="preserve">you meet the minimum GPA for your chosen </w:t>
      </w:r>
      <w:hyperlink r:id="rId15" w:history="1">
        <w:r w:rsidR="00873A13" w:rsidRPr="00C94732">
          <w:rPr>
            <w:rStyle w:val="Hyperlink"/>
          </w:rPr>
          <w:t>program at Oxford</w:t>
        </w:r>
      </w:hyperlink>
      <w:r w:rsidR="001E2ADD" w:rsidRPr="00C94732">
        <w:t xml:space="preserve">.  Applicants have a greater chance of admission to Oxford with a </w:t>
      </w:r>
      <w:proofErr w:type="gramStart"/>
      <w:r w:rsidR="00873A13" w:rsidRPr="00C94732">
        <w:t>First Class Honours</w:t>
      </w:r>
      <w:proofErr w:type="gramEnd"/>
      <w:r w:rsidR="00873A13" w:rsidRPr="00C94732">
        <w:t xml:space="preserve"> Degree or</w:t>
      </w:r>
      <w:r w:rsidR="001E2ADD" w:rsidRPr="00C94732">
        <w:t xml:space="preserve"> a minimum</w:t>
      </w:r>
      <w:r w:rsidR="00873A13" w:rsidRPr="00C94732">
        <w:t xml:space="preserve"> GPA of 3.7/4.0 </w:t>
      </w:r>
      <w:r w:rsidR="001E2ADD" w:rsidRPr="00C94732">
        <w:t xml:space="preserve">(your UVic cumulative GPA </w:t>
      </w:r>
      <w:r w:rsidR="001E2ADD" w:rsidRPr="00E632A6">
        <w:t>should be minimum 8.0)</w:t>
      </w:r>
      <w:r w:rsidR="00873A13" w:rsidRPr="00E632A6">
        <w:t>.</w:t>
      </w:r>
    </w:p>
    <w:p w14:paraId="2E02A5B4" w14:textId="4918FD36" w:rsidR="00CF1742" w:rsidRPr="00477319" w:rsidRDefault="00CF1742" w:rsidP="00477319">
      <w:pPr>
        <w:pStyle w:val="ListParagraph"/>
        <w:numPr>
          <w:ilvl w:val="0"/>
          <w:numId w:val="31"/>
        </w:numPr>
        <w:spacing w:after="0"/>
        <w:rPr>
          <w:rStyle w:val="Hyperlink"/>
          <w:color w:val="auto"/>
        </w:rPr>
      </w:pPr>
      <w:r w:rsidRPr="00E632A6">
        <w:rPr>
          <w:sz w:val="24"/>
          <w:szCs w:val="24"/>
        </w:rPr>
        <w:t>R</w:t>
      </w:r>
      <w:r w:rsidRPr="00E632A6">
        <w:t>eview University of Oxford’s req</w:t>
      </w:r>
      <w:r w:rsidRPr="00C94732">
        <w:t xml:space="preserve">uirements for </w:t>
      </w:r>
      <w:hyperlink r:id="rId16" w:anchor="content-tab--3" w:history="1">
        <w:r w:rsidRPr="00C94732">
          <w:rPr>
            <w:rStyle w:val="Hyperlink"/>
          </w:rPr>
          <w:t>English language proficiency</w:t>
        </w:r>
      </w:hyperlink>
    </w:p>
    <w:p w14:paraId="161D6C33" w14:textId="77777777" w:rsidR="00477319" w:rsidRPr="00477319" w:rsidRDefault="00477319" w:rsidP="00477319">
      <w:pPr>
        <w:spacing w:after="0"/>
        <w:rPr>
          <w:u w:val="single"/>
        </w:rPr>
      </w:pPr>
    </w:p>
    <w:p w14:paraId="01E0188D" w14:textId="78BCD47C" w:rsidR="00E632A6" w:rsidRDefault="00E632A6" w:rsidP="00962B6D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Create a</w:t>
      </w:r>
      <w:r w:rsidR="00EF1B5A">
        <w:rPr>
          <w:b/>
          <w:bCs/>
          <w:sz w:val="24"/>
          <w:szCs w:val="24"/>
        </w:rPr>
        <w:t xml:space="preserve">n </w:t>
      </w:r>
      <w:r w:rsidR="00AF30F4" w:rsidRPr="003649B4">
        <w:rPr>
          <w:b/>
          <w:bCs/>
          <w:sz w:val="24"/>
          <w:szCs w:val="24"/>
        </w:rPr>
        <w:t>account</w:t>
      </w:r>
      <w:r w:rsidR="006A15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 the </w:t>
      </w:r>
      <w:r w:rsidR="00EF1B5A">
        <w:rPr>
          <w:b/>
          <w:bCs/>
          <w:sz w:val="24"/>
          <w:szCs w:val="24"/>
        </w:rPr>
        <w:t xml:space="preserve">Rhodes </w:t>
      </w:r>
      <w:r>
        <w:rPr>
          <w:b/>
          <w:bCs/>
          <w:sz w:val="24"/>
          <w:szCs w:val="24"/>
        </w:rPr>
        <w:t xml:space="preserve">online </w:t>
      </w:r>
      <w:r w:rsidR="004664F6"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portal</w:t>
      </w:r>
      <w:r w:rsidR="00EF1B5A">
        <w:rPr>
          <w:b/>
          <w:bCs/>
          <w:sz w:val="24"/>
          <w:szCs w:val="24"/>
        </w:rPr>
        <w:t>.</w:t>
      </w:r>
    </w:p>
    <w:p w14:paraId="27970796" w14:textId="403CED25" w:rsidR="00E632A6" w:rsidRPr="004664F6" w:rsidRDefault="00E632A6" w:rsidP="007E4C92">
      <w:pPr>
        <w:spacing w:after="0"/>
      </w:pPr>
      <w:r w:rsidRPr="004664F6">
        <w:rPr>
          <w:u w:val="single"/>
        </w:rPr>
        <w:t>Applicants for inter-jurisdictional consideration</w:t>
      </w:r>
      <w:r>
        <w:t xml:space="preserve"> will receive an error message on the Preliminary Screen in the online portal as they do not meet all the eligibility criteria.  Below the error message will be a check box for inter-jurisdictional consideration which must be selected to access the application.</w:t>
      </w:r>
    </w:p>
    <w:p w14:paraId="327A1433" w14:textId="4E168985" w:rsidR="00E632A6" w:rsidRDefault="00E632A6" w:rsidP="00962B6D">
      <w:pPr>
        <w:spacing w:after="0"/>
        <w:rPr>
          <w:b/>
          <w:bCs/>
          <w:sz w:val="24"/>
          <w:szCs w:val="24"/>
        </w:rPr>
      </w:pPr>
    </w:p>
    <w:p w14:paraId="66E5A407" w14:textId="1D4A0ECF" w:rsidR="00522D71" w:rsidRPr="00EF1B5A" w:rsidRDefault="00E632A6" w:rsidP="00EF1B5A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</w:t>
      </w:r>
      <w:r w:rsidRPr="00093981">
        <w:rPr>
          <w:b/>
          <w:bCs/>
          <w:sz w:val="24"/>
          <w:szCs w:val="24"/>
        </w:rPr>
        <w:t>P</w:t>
      </w:r>
      <w:r w:rsidR="00647744" w:rsidRPr="00093981">
        <w:rPr>
          <w:b/>
          <w:bCs/>
          <w:sz w:val="24"/>
          <w:szCs w:val="24"/>
        </w:rPr>
        <w:t>rovide endorsement contact information</w:t>
      </w:r>
      <w:r w:rsidRPr="00093981">
        <w:rPr>
          <w:b/>
          <w:bCs/>
          <w:sz w:val="24"/>
          <w:szCs w:val="24"/>
        </w:rPr>
        <w:t xml:space="preserve"> in the online </w:t>
      </w:r>
      <w:r w:rsidR="004664F6" w:rsidRPr="00093981">
        <w:rPr>
          <w:b/>
          <w:bCs/>
          <w:sz w:val="24"/>
          <w:szCs w:val="24"/>
        </w:rPr>
        <w:t xml:space="preserve">application </w:t>
      </w:r>
      <w:r w:rsidRPr="00093981">
        <w:rPr>
          <w:b/>
          <w:bCs/>
          <w:sz w:val="24"/>
          <w:szCs w:val="24"/>
        </w:rPr>
        <w:t>portal</w:t>
      </w:r>
      <w:r w:rsidR="00EF1B5A">
        <w:rPr>
          <w:b/>
          <w:bCs/>
          <w:sz w:val="24"/>
          <w:szCs w:val="24"/>
        </w:rPr>
        <w:t xml:space="preserve">.  </w:t>
      </w:r>
      <w:bookmarkStart w:id="1" w:name="_Hlk132277575"/>
      <w:r w:rsidR="003B40B9" w:rsidRPr="003B40B9">
        <w:t xml:space="preserve">Applicants </w:t>
      </w:r>
      <w:r w:rsidR="00093981">
        <w:t xml:space="preserve">to the United States and Global constituencies </w:t>
      </w:r>
      <w:r w:rsidR="003B40B9" w:rsidRPr="003B40B9">
        <w:t>must receive an endorsement (nomination) from UVic</w:t>
      </w:r>
      <w:r w:rsidR="003B40B9">
        <w:t>’s Office of the President</w:t>
      </w:r>
      <w:r w:rsidR="003B40B9" w:rsidRPr="003B40B9">
        <w:t xml:space="preserve"> to complete their application.  </w:t>
      </w:r>
      <w:r w:rsidR="003B40B9">
        <w:t>The</w:t>
      </w:r>
      <w:r w:rsidR="00787322">
        <w:t xml:space="preserve"> Faculty of Graduate Studies </w:t>
      </w:r>
      <w:r w:rsidR="00647744">
        <w:t>coordinates this process</w:t>
      </w:r>
      <w:r w:rsidR="00EF1B5A">
        <w:t xml:space="preserve">:  </w:t>
      </w:r>
      <w:r w:rsidR="00647744">
        <w:t xml:space="preserve">do not contact the Office of the President </w:t>
      </w:r>
      <w:r w:rsidR="00EF1B5A">
        <w:t>to request an endorsement</w:t>
      </w:r>
      <w:r w:rsidR="00647744">
        <w:t xml:space="preserve">.  In the endorsement section, provide </w:t>
      </w:r>
      <w:r w:rsidR="00787322">
        <w:t xml:space="preserve">contact information for Scholarship Officer Lisa Pender </w:t>
      </w:r>
      <w:hyperlink r:id="rId17" w:history="1">
        <w:r w:rsidR="00787322" w:rsidRPr="009937C3">
          <w:rPr>
            <w:rStyle w:val="Hyperlink"/>
          </w:rPr>
          <w:t>fgsaward2@uvic.ca</w:t>
        </w:r>
      </w:hyperlink>
      <w:r w:rsidR="00787322">
        <w:t>.  This will generate a link through which FGS can upload your</w:t>
      </w:r>
      <w:bookmarkEnd w:id="1"/>
      <w:r w:rsidR="00647744">
        <w:t xml:space="preserve"> endorsement letter.</w:t>
      </w:r>
    </w:p>
    <w:p w14:paraId="2BB238AF" w14:textId="3037A085" w:rsidR="0025391C" w:rsidRDefault="0025391C" w:rsidP="00962B6D">
      <w:pPr>
        <w:spacing w:after="0"/>
        <w:rPr>
          <w:b/>
          <w:bCs/>
          <w:sz w:val="24"/>
          <w:szCs w:val="24"/>
        </w:rPr>
      </w:pPr>
    </w:p>
    <w:p w14:paraId="303B84F1" w14:textId="188B9846" w:rsidR="004664F6" w:rsidRPr="006545CD" w:rsidRDefault="004664F6" w:rsidP="004664F6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t xml:space="preserve">  </w:t>
      </w:r>
      <w:r w:rsidRPr="00F6681D">
        <w:rPr>
          <w:b/>
          <w:bCs/>
          <w:sz w:val="24"/>
          <w:szCs w:val="24"/>
        </w:rPr>
        <w:t>Contact your referees</w:t>
      </w:r>
      <w:r w:rsidR="006545CD">
        <w:rPr>
          <w:b/>
          <w:bCs/>
          <w:sz w:val="24"/>
          <w:szCs w:val="24"/>
        </w:rPr>
        <w:t xml:space="preserve">.  </w:t>
      </w:r>
      <w:r>
        <w:t xml:space="preserve">Refer </w:t>
      </w:r>
      <w:r w:rsidRPr="00364701">
        <w:t xml:space="preserve">to </w:t>
      </w:r>
      <w:r w:rsidRPr="001F086E">
        <w:t xml:space="preserve">Information for Candidates </w:t>
      </w:r>
      <w:r w:rsidR="001F086E">
        <w:t xml:space="preserve">guide for your constituency </w:t>
      </w:r>
      <w:r w:rsidRPr="00364701">
        <w:t>for</w:t>
      </w:r>
      <w:r>
        <w:t xml:space="preserve"> detailed instructions</w:t>
      </w:r>
      <w:r w:rsidR="006545CD">
        <w:t xml:space="preserve"> about choosing referees</w:t>
      </w:r>
      <w:r>
        <w:t>.</w:t>
      </w:r>
      <w:r w:rsidR="00882CBC">
        <w:t xml:space="preserve">  </w:t>
      </w:r>
      <w:r w:rsidR="006545CD">
        <w:t xml:space="preserve">Enter the names and email addresses of your referees in the online application portal:  this will generate a link through which they can upload their letters of reference.  </w:t>
      </w:r>
      <w:r w:rsidRPr="006545CD">
        <w:rPr>
          <w:sz w:val="24"/>
          <w:szCs w:val="24"/>
        </w:rPr>
        <w:t>P</w:t>
      </w:r>
      <w:r w:rsidRPr="006545CD">
        <w:t>r</w:t>
      </w:r>
      <w:r>
        <w:t>ovide your referees with the following:</w:t>
      </w:r>
    </w:p>
    <w:p w14:paraId="7667E0BF" w14:textId="035B305D" w:rsidR="004664F6" w:rsidRPr="00364701" w:rsidRDefault="004664F6" w:rsidP="004664F6">
      <w:pPr>
        <w:pStyle w:val="ListParagraph"/>
        <w:numPr>
          <w:ilvl w:val="1"/>
          <w:numId w:val="1"/>
        </w:numPr>
        <w:spacing w:after="0"/>
        <w:ind w:left="924" w:hanging="357"/>
      </w:pPr>
      <w:r w:rsidRPr="001F086E">
        <w:t xml:space="preserve">Guidance for Referees </w:t>
      </w:r>
      <w:r w:rsidR="001F086E">
        <w:t>for your constituency</w:t>
      </w:r>
    </w:p>
    <w:p w14:paraId="6EC275EA" w14:textId="7594E64C" w:rsidR="004664F6" w:rsidRDefault="004664F6" w:rsidP="004664F6">
      <w:pPr>
        <w:pStyle w:val="ListParagraph"/>
        <w:numPr>
          <w:ilvl w:val="1"/>
          <w:numId w:val="1"/>
        </w:numPr>
        <w:spacing w:after="0"/>
        <w:ind w:left="924" w:hanging="357"/>
      </w:pPr>
      <w:r>
        <w:t xml:space="preserve">Your curriculum vitae (CV) </w:t>
      </w:r>
      <w:r w:rsidR="00995CA4">
        <w:t>and</w:t>
      </w:r>
      <w:r w:rsidR="007A742C">
        <w:t xml:space="preserve"> your </w:t>
      </w:r>
      <w:r w:rsidR="00995CA4">
        <w:t xml:space="preserve">(draft) Rhodes </w:t>
      </w:r>
      <w:r>
        <w:t xml:space="preserve">personal </w:t>
      </w:r>
      <w:r w:rsidR="00995CA4">
        <w:t>and</w:t>
      </w:r>
      <w:r>
        <w:t xml:space="preserve"> academic statements</w:t>
      </w:r>
      <w:r w:rsidR="00995CA4">
        <w:t>.</w:t>
      </w:r>
    </w:p>
    <w:p w14:paraId="0E6CD5B0" w14:textId="60CFB053" w:rsidR="004664F6" w:rsidRPr="00C62F00" w:rsidRDefault="001F086E" w:rsidP="00C62F00">
      <w:pPr>
        <w:pStyle w:val="ListParagraph"/>
        <w:numPr>
          <w:ilvl w:val="1"/>
          <w:numId w:val="1"/>
        </w:numPr>
        <w:spacing w:after="0"/>
        <w:ind w:left="924" w:hanging="357"/>
        <w:rPr>
          <w:b/>
          <w:bCs/>
          <w:sz w:val="20"/>
          <w:szCs w:val="20"/>
        </w:rPr>
      </w:pPr>
      <w:r>
        <w:t>Advise your referees of the Rhodes deadline for letters of reference.</w:t>
      </w:r>
    </w:p>
    <w:p w14:paraId="54470D0A" w14:textId="77777777" w:rsidR="004664F6" w:rsidRDefault="004664F6" w:rsidP="00962B6D">
      <w:pPr>
        <w:spacing w:after="0"/>
        <w:rPr>
          <w:b/>
          <w:bCs/>
          <w:sz w:val="24"/>
          <w:szCs w:val="24"/>
        </w:rPr>
      </w:pPr>
    </w:p>
    <w:p w14:paraId="65E570BC" w14:textId="44752528" w:rsidR="00CE4745" w:rsidRPr="00F6681D" w:rsidRDefault="00E62F11" w:rsidP="00962B6D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t xml:space="preserve">  </w:t>
      </w:r>
      <w:r w:rsidR="00BE1812">
        <w:rPr>
          <w:b/>
          <w:bCs/>
          <w:sz w:val="24"/>
          <w:szCs w:val="24"/>
        </w:rPr>
        <w:t>Gather</w:t>
      </w:r>
      <w:r w:rsidR="00CE4745" w:rsidRPr="00F6681D">
        <w:rPr>
          <w:b/>
          <w:bCs/>
          <w:sz w:val="24"/>
          <w:szCs w:val="24"/>
        </w:rPr>
        <w:t xml:space="preserve"> official transcripts</w:t>
      </w:r>
      <w:r w:rsidR="003778F1">
        <w:rPr>
          <w:b/>
          <w:bCs/>
          <w:sz w:val="24"/>
          <w:szCs w:val="24"/>
        </w:rPr>
        <w:t xml:space="preserve"> and o</w:t>
      </w:r>
      <w:r w:rsidR="00FA3297">
        <w:rPr>
          <w:b/>
          <w:bCs/>
          <w:sz w:val="24"/>
          <w:szCs w:val="24"/>
        </w:rPr>
        <w:t xml:space="preserve">ther </w:t>
      </w:r>
      <w:r>
        <w:rPr>
          <w:b/>
          <w:bCs/>
          <w:sz w:val="24"/>
          <w:szCs w:val="24"/>
        </w:rPr>
        <w:t xml:space="preserve">required </w:t>
      </w:r>
      <w:proofErr w:type="gramStart"/>
      <w:r w:rsidR="00FA3297">
        <w:rPr>
          <w:b/>
          <w:bCs/>
          <w:sz w:val="24"/>
          <w:szCs w:val="24"/>
        </w:rPr>
        <w:t>documents</w:t>
      </w:r>
      <w:proofErr w:type="gramEnd"/>
    </w:p>
    <w:p w14:paraId="307F35B3" w14:textId="4B526260" w:rsidR="006C4E12" w:rsidRPr="006C5770" w:rsidRDefault="006C4E12" w:rsidP="00E62F11">
      <w:pPr>
        <w:pStyle w:val="ListParagraph"/>
        <w:numPr>
          <w:ilvl w:val="1"/>
          <w:numId w:val="1"/>
        </w:numPr>
        <w:spacing w:after="0"/>
        <w:ind w:left="924" w:hanging="357"/>
      </w:pPr>
      <w:r w:rsidRPr="006C5770">
        <w:t xml:space="preserve">Order </w:t>
      </w:r>
      <w:r w:rsidR="00E62F11">
        <w:t>official transcripts from UVic and other institutions you have attended.</w:t>
      </w:r>
    </w:p>
    <w:p w14:paraId="1CF9C8AA" w14:textId="36C504C9" w:rsidR="00740311" w:rsidRPr="006C5770" w:rsidRDefault="002F5782" w:rsidP="00740311">
      <w:pPr>
        <w:pStyle w:val="ListParagraph"/>
        <w:numPr>
          <w:ilvl w:val="1"/>
          <w:numId w:val="1"/>
        </w:numPr>
        <w:spacing w:after="0"/>
        <w:ind w:left="924" w:hanging="357"/>
      </w:pPr>
      <w:r>
        <w:t>B</w:t>
      </w:r>
      <w:r w:rsidR="00FA3297" w:rsidRPr="006C5770">
        <w:t>irth certificate</w:t>
      </w:r>
      <w:r w:rsidR="00740311">
        <w:t>, valid passport</w:t>
      </w:r>
      <w:r w:rsidR="00964271">
        <w:t>,</w:t>
      </w:r>
      <w:r w:rsidR="00740311">
        <w:t xml:space="preserve"> and h</w:t>
      </w:r>
      <w:r w:rsidR="00740311" w:rsidRPr="006C5770">
        <w:t>ead and shoulders colour photograph (jpg format)</w:t>
      </w:r>
      <w:r w:rsidR="00240523">
        <w:t>.</w:t>
      </w:r>
    </w:p>
    <w:p w14:paraId="3177954C" w14:textId="3886FD0C" w:rsidR="003E4B17" w:rsidRPr="006C5770" w:rsidRDefault="002F5782" w:rsidP="00E62F11">
      <w:pPr>
        <w:pStyle w:val="ListParagraph"/>
        <w:numPr>
          <w:ilvl w:val="1"/>
          <w:numId w:val="1"/>
        </w:numPr>
        <w:spacing w:after="0"/>
        <w:ind w:left="924" w:hanging="357"/>
      </w:pPr>
      <w:r>
        <w:t>A</w:t>
      </w:r>
      <w:r w:rsidR="003E4B17" w:rsidRPr="006C5770">
        <w:t xml:space="preserve">ll documents </w:t>
      </w:r>
      <w:r>
        <w:t>must be</w:t>
      </w:r>
      <w:r w:rsidR="003E4B17" w:rsidRPr="006C5770">
        <w:t xml:space="preserve"> in English or accompanied by a certified translation.</w:t>
      </w:r>
    </w:p>
    <w:p w14:paraId="6E83972B" w14:textId="77777777" w:rsidR="006C4E12" w:rsidRDefault="006C4E12" w:rsidP="00962B6D">
      <w:pPr>
        <w:spacing w:after="0"/>
      </w:pPr>
    </w:p>
    <w:p w14:paraId="756B2FB0" w14:textId="1E38B6F2" w:rsidR="0052638C" w:rsidRDefault="00E62F11" w:rsidP="00E62F11">
      <w:pPr>
        <w:spacing w:after="0"/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</w:t>
      </w:r>
      <w:r w:rsidR="00080096" w:rsidRPr="00080096">
        <w:rPr>
          <w:b/>
          <w:bCs/>
          <w:sz w:val="24"/>
          <w:szCs w:val="24"/>
        </w:rPr>
        <w:t>Prepare your</w:t>
      </w:r>
      <w:r w:rsidR="00B858C9" w:rsidRPr="00080096">
        <w:rPr>
          <w:b/>
          <w:bCs/>
          <w:sz w:val="24"/>
          <w:szCs w:val="24"/>
        </w:rPr>
        <w:t xml:space="preserve"> </w:t>
      </w:r>
      <w:r w:rsidR="0052638C" w:rsidRPr="00080096">
        <w:rPr>
          <w:b/>
          <w:bCs/>
          <w:sz w:val="24"/>
          <w:szCs w:val="24"/>
        </w:rPr>
        <w:t>application</w:t>
      </w:r>
      <w:r>
        <w:rPr>
          <w:b/>
          <w:bCs/>
          <w:sz w:val="24"/>
          <w:szCs w:val="24"/>
        </w:rPr>
        <w:t xml:space="preserve"> </w:t>
      </w:r>
      <w:r w:rsidRPr="00CE5A8E">
        <w:t>according to the instructions in</w:t>
      </w:r>
      <w:r>
        <w:rPr>
          <w:b/>
          <w:bCs/>
          <w:sz w:val="24"/>
          <w:szCs w:val="24"/>
        </w:rPr>
        <w:t xml:space="preserve"> </w:t>
      </w:r>
      <w:r w:rsidR="00CE5A8E" w:rsidRPr="00CE5A8E">
        <w:t xml:space="preserve">the </w:t>
      </w:r>
      <w:r w:rsidR="005137D8" w:rsidRPr="00CE5A8E">
        <w:t>Information for Candidates</w:t>
      </w:r>
      <w:r w:rsidR="00CD1929" w:rsidRPr="00CE5A8E">
        <w:t xml:space="preserve"> </w:t>
      </w:r>
      <w:r w:rsidR="00CE5A8E">
        <w:t>guide for your constituency</w:t>
      </w:r>
      <w:r w:rsidR="00BA3711">
        <w:t>.</w:t>
      </w:r>
    </w:p>
    <w:p w14:paraId="39048022" w14:textId="3907AF35" w:rsidR="00AE45D1" w:rsidRDefault="00E62F11" w:rsidP="00BA3711">
      <w:pPr>
        <w:pStyle w:val="ListParagraph"/>
        <w:numPr>
          <w:ilvl w:val="1"/>
          <w:numId w:val="1"/>
        </w:numPr>
        <w:spacing w:after="0"/>
        <w:ind w:left="924" w:hanging="357"/>
      </w:pPr>
      <w:r>
        <w:t>C</w:t>
      </w:r>
      <w:r w:rsidR="00AE45D1">
        <w:t>urriculum vitae (CV)</w:t>
      </w:r>
      <w:r w:rsidR="00BA3711">
        <w:t>, p</w:t>
      </w:r>
      <w:r w:rsidR="00AE45D1">
        <w:t>ersonal statement</w:t>
      </w:r>
      <w:r w:rsidR="00BA3711">
        <w:t>, and academic statement of study.</w:t>
      </w:r>
    </w:p>
    <w:p w14:paraId="1B7E3D4B" w14:textId="355321D6" w:rsidR="00CA5433" w:rsidRDefault="007E4C92" w:rsidP="007E4C92">
      <w:pPr>
        <w:pStyle w:val="ListParagraph"/>
        <w:numPr>
          <w:ilvl w:val="1"/>
          <w:numId w:val="1"/>
        </w:numPr>
        <w:spacing w:before="60" w:after="0"/>
        <w:ind w:left="924" w:hanging="357"/>
      </w:pPr>
      <w:r w:rsidRPr="007E4C92">
        <w:rPr>
          <w:u w:val="single"/>
        </w:rPr>
        <w:t>Applicants for inter-jurisdictional consideration</w:t>
      </w:r>
      <w:r>
        <w:t>:  c</w:t>
      </w:r>
      <w:r w:rsidR="00CA5433" w:rsidRPr="00E62F11">
        <w:t xml:space="preserve">omplete </w:t>
      </w:r>
      <w:r w:rsidR="00CA5433">
        <w:t xml:space="preserve">the inter-jurisdictional tab in the online application, including a </w:t>
      </w:r>
      <w:proofErr w:type="gramStart"/>
      <w:r w:rsidR="00CA5433">
        <w:t>500 word</w:t>
      </w:r>
      <w:proofErr w:type="gramEnd"/>
      <w:r w:rsidR="00CA5433">
        <w:t xml:space="preserve"> rationale.</w:t>
      </w:r>
    </w:p>
    <w:p w14:paraId="2075D8B4" w14:textId="63045A43" w:rsidR="00BA3711" w:rsidRPr="00BA3711" w:rsidRDefault="00BA3711" w:rsidP="007E4C92">
      <w:pPr>
        <w:pStyle w:val="ListParagraph"/>
        <w:numPr>
          <w:ilvl w:val="1"/>
          <w:numId w:val="1"/>
        </w:numPr>
        <w:spacing w:before="60" w:after="0"/>
        <w:ind w:left="924" w:hanging="357"/>
      </w:pPr>
      <w:r w:rsidRPr="00BA3711">
        <w:t>Ensure documents meet the required font size and maximum number of words/pages</w:t>
      </w:r>
      <w:r>
        <w:t>.</w:t>
      </w:r>
    </w:p>
    <w:p w14:paraId="1DDD285A" w14:textId="07F77ED6" w:rsidR="00BE7756" w:rsidRDefault="00BE7756" w:rsidP="00962B6D">
      <w:pPr>
        <w:spacing w:after="0"/>
        <w:rPr>
          <w:smallCaps/>
          <w:noProof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1D1F" w14:paraId="28EC4FA3" w14:textId="77777777" w:rsidTr="00BE5D72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6DC4D23D" w14:textId="77777777" w:rsidR="002F1D1F" w:rsidRDefault="002F1D1F" w:rsidP="002F1D1F"/>
          <w:p w14:paraId="708A0919" w14:textId="64640FF3" w:rsidR="002F1D1F" w:rsidRPr="002F1D1F" w:rsidRDefault="002F1D1F" w:rsidP="002F1D1F">
            <w:pPr>
              <w:rPr>
                <w:sz w:val="28"/>
                <w:szCs w:val="28"/>
              </w:rPr>
            </w:pPr>
            <w:r w:rsidRPr="002F1D1F">
              <w:rPr>
                <w:sz w:val="28"/>
                <w:szCs w:val="28"/>
              </w:rPr>
              <w:t>IMPORTANT FINAL STEPS</w:t>
            </w:r>
          </w:p>
          <w:p w14:paraId="7A8C0A80" w14:textId="77777777" w:rsidR="002F1D1F" w:rsidRPr="002F1D1F" w:rsidRDefault="002F1D1F" w:rsidP="002F1D1F"/>
          <w:p w14:paraId="697BCB9B" w14:textId="0BB699E1" w:rsidR="002F1D1F" w:rsidRPr="00093981" w:rsidRDefault="002F1D1F" w:rsidP="002F1D1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5B67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37D8">
              <w:rPr>
                <w:b/>
                <w:bCs/>
                <w:sz w:val="24"/>
                <w:szCs w:val="24"/>
              </w:rPr>
              <w:t xml:space="preserve"> </w:t>
            </w:r>
            <w:r w:rsidRPr="00093981">
              <w:rPr>
                <w:b/>
                <w:bCs/>
                <w:sz w:val="24"/>
                <w:szCs w:val="24"/>
              </w:rPr>
              <w:t xml:space="preserve">UVic internal deadline for endorsement:  </w:t>
            </w:r>
            <w:r w:rsidR="00093981" w:rsidRPr="00093981">
              <w:rPr>
                <w:b/>
                <w:bCs/>
                <w:sz w:val="24"/>
                <w:szCs w:val="24"/>
              </w:rPr>
              <w:t>UNITED STATES AND GLOBAL CONSTITUENCIES</w:t>
            </w:r>
          </w:p>
          <w:p w14:paraId="14E2886E" w14:textId="69684FE2" w:rsidR="002F1D1F" w:rsidRPr="00093981" w:rsidRDefault="002F1D1F" w:rsidP="002F1D1F">
            <w:bookmarkStart w:id="2" w:name="_Hlk131673566"/>
            <w:r w:rsidRPr="00093981">
              <w:t>To be considered for an endorsement (selected as a UVic nominee) you must provide the following components of your application to</w:t>
            </w:r>
            <w:r w:rsidR="00AD3203" w:rsidRPr="00093981">
              <w:t xml:space="preserve"> the Faculty of Graduate Studies at </w:t>
            </w:r>
            <w:hyperlink r:id="rId18" w:history="1">
              <w:r w:rsidRPr="00093981">
                <w:rPr>
                  <w:rStyle w:val="Hyperlink"/>
                </w:rPr>
                <w:t>fgsgradawards@uvic.ca</w:t>
              </w:r>
            </w:hyperlink>
            <w:r w:rsidRPr="00093981">
              <w:t xml:space="preserve"> </w:t>
            </w:r>
            <w:r w:rsidR="00E32D65" w:rsidRPr="00093981">
              <w:t xml:space="preserve">(with “Rhodes” in the email subject line) </w:t>
            </w:r>
            <w:r w:rsidRPr="00093981">
              <w:t xml:space="preserve">by </w:t>
            </w:r>
            <w:r w:rsidR="00093981" w:rsidRPr="00093981">
              <w:rPr>
                <w:b/>
                <w:bCs/>
                <w:color w:val="C00000"/>
              </w:rPr>
              <w:t>July 8, 2024 for the Global constituency</w:t>
            </w:r>
            <w:r w:rsidR="00093981" w:rsidRPr="00093981">
              <w:rPr>
                <w:color w:val="C00000"/>
              </w:rPr>
              <w:t xml:space="preserve"> </w:t>
            </w:r>
            <w:r w:rsidR="00093981">
              <w:t xml:space="preserve">and by </w:t>
            </w:r>
            <w:r w:rsidRPr="00093981">
              <w:rPr>
                <w:b/>
                <w:bCs/>
                <w:color w:val="C00000"/>
              </w:rPr>
              <w:t>September 10, 2024</w:t>
            </w:r>
            <w:r w:rsidR="00093981" w:rsidRPr="00093981">
              <w:rPr>
                <w:b/>
                <w:bCs/>
                <w:color w:val="C00000"/>
              </w:rPr>
              <w:t xml:space="preserve"> for the United States constituency</w:t>
            </w:r>
            <w:r w:rsidR="00093981">
              <w:t>.</w:t>
            </w:r>
          </w:p>
          <w:p w14:paraId="67C82068" w14:textId="4187EFB2" w:rsidR="002F1D1F" w:rsidRPr="00093981" w:rsidRDefault="002F1D1F" w:rsidP="002F1D1F">
            <w:pPr>
              <w:pStyle w:val="ListParagraph"/>
              <w:numPr>
                <w:ilvl w:val="0"/>
                <w:numId w:val="32"/>
              </w:numPr>
            </w:pPr>
            <w:r w:rsidRPr="00093981">
              <w:t>Transcripts</w:t>
            </w:r>
          </w:p>
          <w:p w14:paraId="657323F9" w14:textId="77777777" w:rsidR="00093981" w:rsidRDefault="00093981" w:rsidP="002F1D1F">
            <w:pPr>
              <w:pStyle w:val="ListParagraph"/>
              <w:numPr>
                <w:ilvl w:val="0"/>
                <w:numId w:val="32"/>
              </w:numPr>
            </w:pPr>
            <w:r>
              <w:t>Curriculum vitae (CV)</w:t>
            </w:r>
          </w:p>
          <w:p w14:paraId="6901C224" w14:textId="4774C33F" w:rsidR="002F1D1F" w:rsidRPr="00093981" w:rsidRDefault="002F1D1F" w:rsidP="002F1D1F">
            <w:pPr>
              <w:pStyle w:val="ListParagraph"/>
              <w:numPr>
                <w:ilvl w:val="0"/>
                <w:numId w:val="32"/>
              </w:numPr>
            </w:pPr>
            <w:r w:rsidRPr="00093981">
              <w:t>Personal statement</w:t>
            </w:r>
          </w:p>
          <w:p w14:paraId="10DF7BA8" w14:textId="41A9C1A1" w:rsidR="002F1D1F" w:rsidRPr="00093981" w:rsidRDefault="002F1D1F" w:rsidP="002F1D1F">
            <w:pPr>
              <w:pStyle w:val="ListParagraph"/>
              <w:numPr>
                <w:ilvl w:val="0"/>
                <w:numId w:val="32"/>
              </w:numPr>
            </w:pPr>
            <w:r w:rsidRPr="00093981">
              <w:t>Academic statement</w:t>
            </w:r>
          </w:p>
          <w:bookmarkEnd w:id="2"/>
          <w:p w14:paraId="56289067" w14:textId="3180A6B9" w:rsidR="00420AF9" w:rsidRPr="00420AF9" w:rsidRDefault="002F1D1F" w:rsidP="00420AF9">
            <w:pPr>
              <w:spacing w:before="120"/>
            </w:pPr>
            <w:r w:rsidRPr="00093981">
              <w:t>Applications will be evaluated for eligibility and alignment with the Rhodes selection criteria.  If you are selected as a UVic nominee, FGS will provide your endorsement letter directly to the Rhodes Trust.</w:t>
            </w:r>
          </w:p>
          <w:p w14:paraId="44BE17B9" w14:textId="77777777" w:rsidR="002F1D1F" w:rsidRDefault="002F1D1F" w:rsidP="00420AF9"/>
          <w:p w14:paraId="2C35D9AB" w14:textId="12AC8D99" w:rsidR="004D50FA" w:rsidRDefault="004D50FA" w:rsidP="004D50FA">
            <w:pPr>
              <w:jc w:val="right"/>
            </w:pPr>
            <w:r>
              <w:t>(</w:t>
            </w:r>
            <w:proofErr w:type="gramStart"/>
            <w:r>
              <w:t>continued on</w:t>
            </w:r>
            <w:proofErr w:type="gramEnd"/>
            <w:r>
              <w:t xml:space="preserve"> next page)</w:t>
            </w:r>
          </w:p>
        </w:tc>
      </w:tr>
      <w:tr w:rsidR="00420AF9" w14:paraId="72C7CB2D" w14:textId="77777777" w:rsidTr="00BE5D72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60F7C407" w14:textId="77777777" w:rsidR="00420AF9" w:rsidRPr="00093981" w:rsidRDefault="00420AF9" w:rsidP="00420AF9">
            <w:pPr>
              <w:rPr>
                <w:b/>
                <w:bCs/>
                <w:sz w:val="24"/>
                <w:szCs w:val="24"/>
              </w:rPr>
            </w:pPr>
            <w:r w:rsidRPr="00DF479C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 w:rsidRPr="00093981">
              <w:rPr>
                <w:b/>
                <w:bCs/>
                <w:sz w:val="24"/>
                <w:szCs w:val="24"/>
              </w:rPr>
              <w:t xml:space="preserve">  Rhodes inter-jurisdictional check (if applicable):</w:t>
            </w:r>
          </w:p>
          <w:p w14:paraId="1C2822C7" w14:textId="77777777" w:rsidR="00420AF9" w:rsidRPr="00093981" w:rsidRDefault="00420AF9" w:rsidP="00420AF9">
            <w:r w:rsidRPr="00093981">
              <w:rPr>
                <w:u w:val="single"/>
              </w:rPr>
              <w:t>Applicants for inter-jurisdictional consideration</w:t>
            </w:r>
            <w:r w:rsidRPr="00093981">
              <w:t xml:space="preserve">:  complete your application and check the box to request an inter-jurisdictional eligibility check </w:t>
            </w:r>
            <w:r w:rsidRPr="00DF479C">
              <w:rPr>
                <w:b/>
                <w:bCs/>
                <w:color w:val="C00000"/>
              </w:rPr>
              <w:t>at least two weeks prior to the Rhodes deadline for application submission</w:t>
            </w:r>
            <w:r w:rsidRPr="00093981">
              <w:t>.</w:t>
            </w:r>
          </w:p>
          <w:p w14:paraId="4ACAE4CA" w14:textId="77777777" w:rsidR="00420AF9" w:rsidRPr="00093981" w:rsidRDefault="00420AF9" w:rsidP="00420AF9"/>
          <w:p w14:paraId="64B7F192" w14:textId="77777777" w:rsidR="00420AF9" w:rsidRPr="00093981" w:rsidRDefault="00420AF9" w:rsidP="00420AF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F479C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 w:rsidRPr="00093981">
              <w:rPr>
                <w:b/>
                <w:bCs/>
                <w:sz w:val="24"/>
                <w:szCs w:val="24"/>
              </w:rPr>
              <w:t xml:space="preserve">  Rhodes deadline for application submission: </w:t>
            </w:r>
          </w:p>
          <w:p w14:paraId="7FBB6638" w14:textId="77777777" w:rsidR="00420AF9" w:rsidRPr="00093981" w:rsidRDefault="00420AF9" w:rsidP="00420AF9">
            <w:bookmarkStart w:id="3" w:name="_Hlk131673581"/>
            <w:r w:rsidRPr="00093981">
              <w:t xml:space="preserve">Submit your application in the Rhodes online portal </w:t>
            </w:r>
            <w:r w:rsidRPr="00DF479C">
              <w:rPr>
                <w:b/>
                <w:bCs/>
                <w:color w:val="C00000"/>
              </w:rPr>
              <w:t>by the deadline for your constituency</w:t>
            </w:r>
            <w:r w:rsidRPr="00093981">
              <w:t xml:space="preserve">.  Ensure that you note the </w:t>
            </w:r>
            <w:r w:rsidRPr="00DF479C">
              <w:rPr>
                <w:b/>
                <w:bCs/>
                <w:color w:val="C00000"/>
              </w:rPr>
              <w:t>time zone</w:t>
            </w:r>
            <w:r w:rsidRPr="00DF479C">
              <w:rPr>
                <w:color w:val="C00000"/>
              </w:rPr>
              <w:t xml:space="preserve"> </w:t>
            </w:r>
            <w:r w:rsidRPr="00093981">
              <w:t xml:space="preserve">associated with the deadline.  </w:t>
            </w:r>
          </w:p>
          <w:p w14:paraId="534D8008" w14:textId="77777777" w:rsidR="00420AF9" w:rsidRPr="00093981" w:rsidRDefault="00420AF9" w:rsidP="00420AF9"/>
          <w:p w14:paraId="5F359F53" w14:textId="77777777" w:rsidR="00420AF9" w:rsidRPr="00093981" w:rsidRDefault="00420AF9" w:rsidP="00420AF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F479C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 w:rsidRPr="00093981">
              <w:rPr>
                <w:b/>
                <w:bCs/>
                <w:sz w:val="24"/>
                <w:szCs w:val="24"/>
              </w:rPr>
              <w:t xml:space="preserve">  Rhodes deadline for letters of reference:</w:t>
            </w:r>
          </w:p>
          <w:p w14:paraId="272E2CFD" w14:textId="77777777" w:rsidR="00420AF9" w:rsidRPr="00471919" w:rsidRDefault="00420AF9" w:rsidP="00420AF9">
            <w:r w:rsidRPr="00093981">
              <w:t xml:space="preserve">Remind your referees to submit their letters of reference in the Rhodes online portal </w:t>
            </w:r>
            <w:r w:rsidRPr="00DF479C">
              <w:rPr>
                <w:b/>
                <w:bCs/>
                <w:color w:val="C00000"/>
              </w:rPr>
              <w:t>by the referee deadline for your constituency</w:t>
            </w:r>
            <w:r w:rsidRPr="00093981">
              <w:t xml:space="preserve">.  Ensure that you note the </w:t>
            </w:r>
            <w:r w:rsidRPr="00DF479C">
              <w:rPr>
                <w:b/>
                <w:bCs/>
                <w:color w:val="C00000"/>
              </w:rPr>
              <w:t>time zone</w:t>
            </w:r>
            <w:r w:rsidRPr="00DF479C">
              <w:rPr>
                <w:color w:val="C00000"/>
              </w:rPr>
              <w:t xml:space="preserve"> </w:t>
            </w:r>
            <w:r w:rsidRPr="00093981">
              <w:t>associated with the deadline</w:t>
            </w:r>
            <w:r>
              <w:t>.</w:t>
            </w:r>
          </w:p>
          <w:bookmarkEnd w:id="3"/>
          <w:p w14:paraId="302411B3" w14:textId="77777777" w:rsidR="00420AF9" w:rsidRDefault="00420AF9" w:rsidP="002F1D1F"/>
        </w:tc>
      </w:tr>
    </w:tbl>
    <w:p w14:paraId="5EFFA15D" w14:textId="4E9459D0" w:rsidR="00EF1B5A" w:rsidRDefault="00EF1B5A" w:rsidP="00962B6D">
      <w:pPr>
        <w:spacing w:after="0"/>
      </w:pPr>
    </w:p>
    <w:sectPr w:rsidR="00EF1B5A" w:rsidSect="00C94732">
      <w:head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BFF4" w14:textId="77777777" w:rsidR="003A042D" w:rsidRDefault="003A042D" w:rsidP="003A042D">
      <w:pPr>
        <w:spacing w:after="0" w:line="240" w:lineRule="auto"/>
      </w:pPr>
      <w:r>
        <w:separator/>
      </w:r>
    </w:p>
  </w:endnote>
  <w:endnote w:type="continuationSeparator" w:id="0">
    <w:p w14:paraId="01C82401" w14:textId="77777777" w:rsidR="003A042D" w:rsidRDefault="003A042D" w:rsidP="003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9BE2" w14:textId="77777777" w:rsidR="003A042D" w:rsidRDefault="003A042D" w:rsidP="003A042D">
      <w:pPr>
        <w:spacing w:after="0" w:line="240" w:lineRule="auto"/>
      </w:pPr>
      <w:r>
        <w:separator/>
      </w:r>
    </w:p>
  </w:footnote>
  <w:footnote w:type="continuationSeparator" w:id="0">
    <w:p w14:paraId="531D5E74" w14:textId="77777777" w:rsidR="003A042D" w:rsidRDefault="003A042D" w:rsidP="003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38B5" w14:textId="2A6BC172" w:rsidR="00735643" w:rsidRDefault="00735643">
    <w:pPr>
      <w:pStyle w:val="Header"/>
    </w:pPr>
    <w:r>
      <w:rPr>
        <w:noProof/>
      </w:rPr>
      <w:drawing>
        <wp:inline distT="0" distB="0" distL="0" distR="0" wp14:anchorId="02E8EFC9" wp14:editId="78C5B362">
          <wp:extent cx="2672080" cy="504825"/>
          <wp:effectExtent l="0" t="0" r="0" b="9525"/>
          <wp:docPr id="620888877" name="Picture 620888877" descr="Letterhead with logo of University of Victoria, Faculty of Graduate Studi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888877" name="Picture 620888877" descr="Letterhead with logo of University of Victoria, Faculty of Graduate Studie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08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667"/>
    <w:multiLevelType w:val="hybridMultilevel"/>
    <w:tmpl w:val="8FDECE1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36CD8"/>
    <w:multiLevelType w:val="hybridMultilevel"/>
    <w:tmpl w:val="AF0E5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8D6"/>
    <w:multiLevelType w:val="hybridMultilevel"/>
    <w:tmpl w:val="E508FF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408"/>
    <w:multiLevelType w:val="hybridMultilevel"/>
    <w:tmpl w:val="64383E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3E9D"/>
    <w:multiLevelType w:val="hybridMultilevel"/>
    <w:tmpl w:val="B7A6E7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5CD1"/>
    <w:multiLevelType w:val="hybridMultilevel"/>
    <w:tmpl w:val="B096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59D"/>
    <w:multiLevelType w:val="hybridMultilevel"/>
    <w:tmpl w:val="2BFCB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CBA"/>
    <w:multiLevelType w:val="hybridMultilevel"/>
    <w:tmpl w:val="2506D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5807"/>
    <w:multiLevelType w:val="hybridMultilevel"/>
    <w:tmpl w:val="A20089B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029C"/>
    <w:multiLevelType w:val="hybridMultilevel"/>
    <w:tmpl w:val="817E2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D7732"/>
    <w:multiLevelType w:val="hybridMultilevel"/>
    <w:tmpl w:val="199E3824"/>
    <w:lvl w:ilvl="0" w:tplc="739A7E98">
      <w:start w:val="1"/>
      <w:numFmt w:val="decimal"/>
      <w:lvlText w:val="%1."/>
      <w:lvlJc w:val="left"/>
      <w:pPr>
        <w:ind w:left="1004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3E0960"/>
    <w:multiLevelType w:val="hybridMultilevel"/>
    <w:tmpl w:val="4F608D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DD1DE1"/>
    <w:multiLevelType w:val="hybridMultilevel"/>
    <w:tmpl w:val="303CC62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37306A"/>
    <w:multiLevelType w:val="hybridMultilevel"/>
    <w:tmpl w:val="EA1CF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1EDF"/>
    <w:multiLevelType w:val="hybridMultilevel"/>
    <w:tmpl w:val="01C2D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20CF"/>
    <w:multiLevelType w:val="hybridMultilevel"/>
    <w:tmpl w:val="9EC098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379B"/>
    <w:multiLevelType w:val="hybridMultilevel"/>
    <w:tmpl w:val="DC926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5AB"/>
    <w:multiLevelType w:val="hybridMultilevel"/>
    <w:tmpl w:val="247641E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ind w:left="2880" w:hanging="360"/>
      </w:p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4E03A7"/>
    <w:multiLevelType w:val="hybridMultilevel"/>
    <w:tmpl w:val="8764672A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A74E06"/>
    <w:multiLevelType w:val="hybridMultilevel"/>
    <w:tmpl w:val="221CFFCA"/>
    <w:lvl w:ilvl="0" w:tplc="AAB21020">
      <w:start w:val="2"/>
      <w:numFmt w:val="bullet"/>
      <w:lvlText w:val=""/>
      <w:lvlJc w:val="left"/>
      <w:pPr>
        <w:ind w:left="53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592704B9"/>
    <w:multiLevelType w:val="hybridMultilevel"/>
    <w:tmpl w:val="C9E84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E27"/>
    <w:multiLevelType w:val="hybridMultilevel"/>
    <w:tmpl w:val="D3A86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A62"/>
    <w:multiLevelType w:val="hybridMultilevel"/>
    <w:tmpl w:val="A7EA5C3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FD5309"/>
    <w:multiLevelType w:val="hybridMultilevel"/>
    <w:tmpl w:val="3A623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87DDD"/>
    <w:multiLevelType w:val="hybridMultilevel"/>
    <w:tmpl w:val="AFFE4888"/>
    <w:lvl w:ilvl="0" w:tplc="DF5C83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D77BB"/>
    <w:multiLevelType w:val="hybridMultilevel"/>
    <w:tmpl w:val="10F282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B59F5"/>
    <w:multiLevelType w:val="hybridMultilevel"/>
    <w:tmpl w:val="9A4E199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3330CE"/>
    <w:multiLevelType w:val="hybridMultilevel"/>
    <w:tmpl w:val="15666B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75AB"/>
    <w:multiLevelType w:val="hybridMultilevel"/>
    <w:tmpl w:val="E8E88C26"/>
    <w:lvl w:ilvl="0" w:tplc="B92C585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D3F8E"/>
    <w:multiLevelType w:val="hybridMultilevel"/>
    <w:tmpl w:val="7EFE7208"/>
    <w:lvl w:ilvl="0" w:tplc="46F220C4"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2C959F2"/>
    <w:multiLevelType w:val="hybridMultilevel"/>
    <w:tmpl w:val="1BC817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D1FAE"/>
    <w:multiLevelType w:val="hybridMultilevel"/>
    <w:tmpl w:val="8F90FFA6"/>
    <w:lvl w:ilvl="0" w:tplc="7A967340">
      <w:start w:val="1"/>
      <w:numFmt w:val="decimal"/>
      <w:lvlText w:val="%1."/>
      <w:lvlJc w:val="left"/>
      <w:pPr>
        <w:ind w:left="-1195" w:hanging="360"/>
      </w:pPr>
      <w:rPr>
        <w:rFonts w:hint="default"/>
        <w:color w:val="3B3838" w:themeColor="background2" w:themeShade="40"/>
        <w:sz w:val="20"/>
      </w:rPr>
    </w:lvl>
    <w:lvl w:ilvl="1" w:tplc="FFFFFFFF">
      <w:start w:val="1"/>
      <w:numFmt w:val="decimal"/>
      <w:lvlText w:val="%2."/>
      <w:lvlJc w:val="left"/>
      <w:pPr>
        <w:ind w:left="-475" w:hanging="360"/>
      </w:pPr>
    </w:lvl>
    <w:lvl w:ilvl="2" w:tplc="FFFFFFFF" w:tentative="1">
      <w:start w:val="1"/>
      <w:numFmt w:val="bullet"/>
      <w:lvlText w:val=""/>
      <w:lvlJc w:val="left"/>
      <w:pPr>
        <w:ind w:left="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</w:abstractNum>
  <w:num w:numId="1" w16cid:durableId="1088650392">
    <w:abstractNumId w:val="1"/>
  </w:num>
  <w:num w:numId="2" w16cid:durableId="317684832">
    <w:abstractNumId w:val="12"/>
  </w:num>
  <w:num w:numId="3" w16cid:durableId="1287154532">
    <w:abstractNumId w:val="11"/>
  </w:num>
  <w:num w:numId="4" w16cid:durableId="595556148">
    <w:abstractNumId w:val="28"/>
  </w:num>
  <w:num w:numId="5" w16cid:durableId="96297052">
    <w:abstractNumId w:val="25"/>
  </w:num>
  <w:num w:numId="6" w16cid:durableId="172302604">
    <w:abstractNumId w:val="5"/>
  </w:num>
  <w:num w:numId="7" w16cid:durableId="195893406">
    <w:abstractNumId w:val="6"/>
  </w:num>
  <w:num w:numId="8" w16cid:durableId="2063360760">
    <w:abstractNumId w:val="0"/>
  </w:num>
  <w:num w:numId="9" w16cid:durableId="72968648">
    <w:abstractNumId w:val="23"/>
  </w:num>
  <w:num w:numId="10" w16cid:durableId="1422021321">
    <w:abstractNumId w:val="8"/>
  </w:num>
  <w:num w:numId="11" w16cid:durableId="1394768808">
    <w:abstractNumId w:val="7"/>
  </w:num>
  <w:num w:numId="12" w16cid:durableId="1163206909">
    <w:abstractNumId w:val="14"/>
  </w:num>
  <w:num w:numId="13" w16cid:durableId="1446735363">
    <w:abstractNumId w:val="15"/>
  </w:num>
  <w:num w:numId="14" w16cid:durableId="863060134">
    <w:abstractNumId w:val="24"/>
  </w:num>
  <w:num w:numId="15" w16cid:durableId="1070811649">
    <w:abstractNumId w:val="20"/>
  </w:num>
  <w:num w:numId="16" w16cid:durableId="1569876653">
    <w:abstractNumId w:val="17"/>
  </w:num>
  <w:num w:numId="17" w16cid:durableId="176430260">
    <w:abstractNumId w:val="22"/>
  </w:num>
  <w:num w:numId="18" w16cid:durableId="140850932">
    <w:abstractNumId w:val="21"/>
  </w:num>
  <w:num w:numId="19" w16cid:durableId="580874474">
    <w:abstractNumId w:val="2"/>
  </w:num>
  <w:num w:numId="20" w16cid:durableId="34428186">
    <w:abstractNumId w:val="13"/>
  </w:num>
  <w:num w:numId="21" w16cid:durableId="503280582">
    <w:abstractNumId w:val="16"/>
  </w:num>
  <w:num w:numId="22" w16cid:durableId="341124147">
    <w:abstractNumId w:val="31"/>
  </w:num>
  <w:num w:numId="23" w16cid:durableId="1578204085">
    <w:abstractNumId w:val="4"/>
  </w:num>
  <w:num w:numId="24" w16cid:durableId="608584552">
    <w:abstractNumId w:val="10"/>
  </w:num>
  <w:num w:numId="25" w16cid:durableId="2139062112">
    <w:abstractNumId w:val="18"/>
  </w:num>
  <w:num w:numId="26" w16cid:durableId="378017898">
    <w:abstractNumId w:val="19"/>
  </w:num>
  <w:num w:numId="27" w16cid:durableId="1072655054">
    <w:abstractNumId w:val="9"/>
  </w:num>
  <w:num w:numId="28" w16cid:durableId="1957515892">
    <w:abstractNumId w:val="26"/>
  </w:num>
  <w:num w:numId="29" w16cid:durableId="28143614">
    <w:abstractNumId w:val="29"/>
  </w:num>
  <w:num w:numId="30" w16cid:durableId="1027220404">
    <w:abstractNumId w:val="27"/>
  </w:num>
  <w:num w:numId="31" w16cid:durableId="1911958684">
    <w:abstractNumId w:val="30"/>
  </w:num>
  <w:num w:numId="32" w16cid:durableId="135669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8B"/>
    <w:rsid w:val="0000460E"/>
    <w:rsid w:val="0001206D"/>
    <w:rsid w:val="00025A9A"/>
    <w:rsid w:val="00040034"/>
    <w:rsid w:val="000427F9"/>
    <w:rsid w:val="000430BD"/>
    <w:rsid w:val="00047E88"/>
    <w:rsid w:val="00050F97"/>
    <w:rsid w:val="000572F4"/>
    <w:rsid w:val="00065108"/>
    <w:rsid w:val="000769FB"/>
    <w:rsid w:val="00080096"/>
    <w:rsid w:val="000920B5"/>
    <w:rsid w:val="00093981"/>
    <w:rsid w:val="000969FB"/>
    <w:rsid w:val="000A02E7"/>
    <w:rsid w:val="000A1381"/>
    <w:rsid w:val="000B3F33"/>
    <w:rsid w:val="000B5728"/>
    <w:rsid w:val="000B7062"/>
    <w:rsid w:val="000C085C"/>
    <w:rsid w:val="000C10FF"/>
    <w:rsid w:val="000C1E68"/>
    <w:rsid w:val="000D5CB9"/>
    <w:rsid w:val="000E4E80"/>
    <w:rsid w:val="000F3A20"/>
    <w:rsid w:val="00102B42"/>
    <w:rsid w:val="0010328E"/>
    <w:rsid w:val="0011084A"/>
    <w:rsid w:val="0011187E"/>
    <w:rsid w:val="0011286C"/>
    <w:rsid w:val="001134D8"/>
    <w:rsid w:val="0011586A"/>
    <w:rsid w:val="00120CC3"/>
    <w:rsid w:val="001251E2"/>
    <w:rsid w:val="001312C1"/>
    <w:rsid w:val="00131C3B"/>
    <w:rsid w:val="001332FA"/>
    <w:rsid w:val="00134BB1"/>
    <w:rsid w:val="00137D0E"/>
    <w:rsid w:val="001521AE"/>
    <w:rsid w:val="00152E53"/>
    <w:rsid w:val="0015415C"/>
    <w:rsid w:val="00160CF0"/>
    <w:rsid w:val="00162449"/>
    <w:rsid w:val="00163655"/>
    <w:rsid w:val="00171DC1"/>
    <w:rsid w:val="00175DCF"/>
    <w:rsid w:val="0018779A"/>
    <w:rsid w:val="00192914"/>
    <w:rsid w:val="00195DCC"/>
    <w:rsid w:val="001A1EF7"/>
    <w:rsid w:val="001A359A"/>
    <w:rsid w:val="001A5DA9"/>
    <w:rsid w:val="001B0C68"/>
    <w:rsid w:val="001B3ECE"/>
    <w:rsid w:val="001B47F9"/>
    <w:rsid w:val="001B4FBD"/>
    <w:rsid w:val="001B7B0E"/>
    <w:rsid w:val="001C2791"/>
    <w:rsid w:val="001C3C85"/>
    <w:rsid w:val="001E1C4A"/>
    <w:rsid w:val="001E2ADD"/>
    <w:rsid w:val="001E4436"/>
    <w:rsid w:val="001E5A06"/>
    <w:rsid w:val="001E5F6D"/>
    <w:rsid w:val="001E65E1"/>
    <w:rsid w:val="001F086E"/>
    <w:rsid w:val="001F5158"/>
    <w:rsid w:val="001F7224"/>
    <w:rsid w:val="002058D1"/>
    <w:rsid w:val="00206B81"/>
    <w:rsid w:val="00227E12"/>
    <w:rsid w:val="00231C4B"/>
    <w:rsid w:val="00236349"/>
    <w:rsid w:val="0024004D"/>
    <w:rsid w:val="00240523"/>
    <w:rsid w:val="00241FD0"/>
    <w:rsid w:val="00244814"/>
    <w:rsid w:val="00251FB7"/>
    <w:rsid w:val="0025391C"/>
    <w:rsid w:val="00261128"/>
    <w:rsid w:val="002612E7"/>
    <w:rsid w:val="002828C4"/>
    <w:rsid w:val="00283A46"/>
    <w:rsid w:val="00285C0E"/>
    <w:rsid w:val="002A5AE2"/>
    <w:rsid w:val="002C6C4E"/>
    <w:rsid w:val="002D2A25"/>
    <w:rsid w:val="002F1D1F"/>
    <w:rsid w:val="002F5782"/>
    <w:rsid w:val="00303F1E"/>
    <w:rsid w:val="0032151F"/>
    <w:rsid w:val="00321D0C"/>
    <w:rsid w:val="003230B7"/>
    <w:rsid w:val="0032402D"/>
    <w:rsid w:val="0032792D"/>
    <w:rsid w:val="00327CF6"/>
    <w:rsid w:val="003343C4"/>
    <w:rsid w:val="00335CFC"/>
    <w:rsid w:val="00337275"/>
    <w:rsid w:val="00344D1A"/>
    <w:rsid w:val="00344E31"/>
    <w:rsid w:val="0034764A"/>
    <w:rsid w:val="0034772E"/>
    <w:rsid w:val="00351703"/>
    <w:rsid w:val="003557B4"/>
    <w:rsid w:val="00361B9A"/>
    <w:rsid w:val="00364701"/>
    <w:rsid w:val="003649B4"/>
    <w:rsid w:val="00371964"/>
    <w:rsid w:val="00375C24"/>
    <w:rsid w:val="003778F1"/>
    <w:rsid w:val="00380787"/>
    <w:rsid w:val="003A042D"/>
    <w:rsid w:val="003A04E2"/>
    <w:rsid w:val="003A4DF8"/>
    <w:rsid w:val="003A62BB"/>
    <w:rsid w:val="003B24FA"/>
    <w:rsid w:val="003B37C7"/>
    <w:rsid w:val="003B40B9"/>
    <w:rsid w:val="003C2269"/>
    <w:rsid w:val="003C7DDE"/>
    <w:rsid w:val="003D287B"/>
    <w:rsid w:val="003D41EF"/>
    <w:rsid w:val="003D6A53"/>
    <w:rsid w:val="003E051B"/>
    <w:rsid w:val="003E4B17"/>
    <w:rsid w:val="003E60EF"/>
    <w:rsid w:val="003E70B7"/>
    <w:rsid w:val="003E725E"/>
    <w:rsid w:val="0040086F"/>
    <w:rsid w:val="00401482"/>
    <w:rsid w:val="00402A5E"/>
    <w:rsid w:val="004033B3"/>
    <w:rsid w:val="0041528B"/>
    <w:rsid w:val="00420AF9"/>
    <w:rsid w:val="004256C2"/>
    <w:rsid w:val="0043012C"/>
    <w:rsid w:val="00430216"/>
    <w:rsid w:val="0043679E"/>
    <w:rsid w:val="00442123"/>
    <w:rsid w:val="00443C5B"/>
    <w:rsid w:val="00455FEA"/>
    <w:rsid w:val="004664F6"/>
    <w:rsid w:val="00471919"/>
    <w:rsid w:val="00474062"/>
    <w:rsid w:val="00475668"/>
    <w:rsid w:val="00477319"/>
    <w:rsid w:val="004819AF"/>
    <w:rsid w:val="00485324"/>
    <w:rsid w:val="00492310"/>
    <w:rsid w:val="00493E5F"/>
    <w:rsid w:val="004B0E1B"/>
    <w:rsid w:val="004B59ED"/>
    <w:rsid w:val="004C2722"/>
    <w:rsid w:val="004C5377"/>
    <w:rsid w:val="004D0F7C"/>
    <w:rsid w:val="004D3A7A"/>
    <w:rsid w:val="004D4548"/>
    <w:rsid w:val="004D50FA"/>
    <w:rsid w:val="004D5E85"/>
    <w:rsid w:val="004E0EE0"/>
    <w:rsid w:val="004E1B8F"/>
    <w:rsid w:val="004E2012"/>
    <w:rsid w:val="004E5A34"/>
    <w:rsid w:val="004E6D57"/>
    <w:rsid w:val="004F4746"/>
    <w:rsid w:val="005011A7"/>
    <w:rsid w:val="00503AF7"/>
    <w:rsid w:val="005046C9"/>
    <w:rsid w:val="00505576"/>
    <w:rsid w:val="00507E3C"/>
    <w:rsid w:val="005137D8"/>
    <w:rsid w:val="005143A1"/>
    <w:rsid w:val="00522D71"/>
    <w:rsid w:val="00524394"/>
    <w:rsid w:val="00525D93"/>
    <w:rsid w:val="0052638C"/>
    <w:rsid w:val="00534828"/>
    <w:rsid w:val="00534CFC"/>
    <w:rsid w:val="005460E3"/>
    <w:rsid w:val="00555AB1"/>
    <w:rsid w:val="005601D9"/>
    <w:rsid w:val="00563084"/>
    <w:rsid w:val="00565DCE"/>
    <w:rsid w:val="00566809"/>
    <w:rsid w:val="00570DD2"/>
    <w:rsid w:val="005910E5"/>
    <w:rsid w:val="00592D4F"/>
    <w:rsid w:val="005A0897"/>
    <w:rsid w:val="005A67CD"/>
    <w:rsid w:val="005A7719"/>
    <w:rsid w:val="005B49CC"/>
    <w:rsid w:val="005B6905"/>
    <w:rsid w:val="005B6DD7"/>
    <w:rsid w:val="005D34EF"/>
    <w:rsid w:val="005D48DF"/>
    <w:rsid w:val="005F4526"/>
    <w:rsid w:val="006101CA"/>
    <w:rsid w:val="00615CD1"/>
    <w:rsid w:val="006309E4"/>
    <w:rsid w:val="00635B87"/>
    <w:rsid w:val="006455DE"/>
    <w:rsid w:val="00645F6E"/>
    <w:rsid w:val="00646849"/>
    <w:rsid w:val="00647744"/>
    <w:rsid w:val="00647CFC"/>
    <w:rsid w:val="00651E0D"/>
    <w:rsid w:val="006545CD"/>
    <w:rsid w:val="00663CF7"/>
    <w:rsid w:val="006729D9"/>
    <w:rsid w:val="00676102"/>
    <w:rsid w:val="00680E9D"/>
    <w:rsid w:val="00682681"/>
    <w:rsid w:val="00684593"/>
    <w:rsid w:val="00685292"/>
    <w:rsid w:val="006A15AD"/>
    <w:rsid w:val="006A29AA"/>
    <w:rsid w:val="006A2A65"/>
    <w:rsid w:val="006A2F48"/>
    <w:rsid w:val="006A4A0D"/>
    <w:rsid w:val="006A4F8F"/>
    <w:rsid w:val="006C00D1"/>
    <w:rsid w:val="006C0CD7"/>
    <w:rsid w:val="006C4E12"/>
    <w:rsid w:val="006C5770"/>
    <w:rsid w:val="006D7AB7"/>
    <w:rsid w:val="006E454A"/>
    <w:rsid w:val="006E61A5"/>
    <w:rsid w:val="0070456F"/>
    <w:rsid w:val="0070731E"/>
    <w:rsid w:val="00711CCA"/>
    <w:rsid w:val="00714ADB"/>
    <w:rsid w:val="007222C9"/>
    <w:rsid w:val="007267F0"/>
    <w:rsid w:val="007308CB"/>
    <w:rsid w:val="00735643"/>
    <w:rsid w:val="00736927"/>
    <w:rsid w:val="00740311"/>
    <w:rsid w:val="00742292"/>
    <w:rsid w:val="00747F9D"/>
    <w:rsid w:val="00752E5D"/>
    <w:rsid w:val="007672FD"/>
    <w:rsid w:val="00773CEA"/>
    <w:rsid w:val="00774614"/>
    <w:rsid w:val="007759E9"/>
    <w:rsid w:val="00780A52"/>
    <w:rsid w:val="00785733"/>
    <w:rsid w:val="007867B1"/>
    <w:rsid w:val="00787322"/>
    <w:rsid w:val="00791107"/>
    <w:rsid w:val="00794399"/>
    <w:rsid w:val="007A0010"/>
    <w:rsid w:val="007A33A2"/>
    <w:rsid w:val="007A33E1"/>
    <w:rsid w:val="007A742C"/>
    <w:rsid w:val="007B7491"/>
    <w:rsid w:val="007D0633"/>
    <w:rsid w:val="007D07BD"/>
    <w:rsid w:val="007D2889"/>
    <w:rsid w:val="007E38FC"/>
    <w:rsid w:val="007E4C92"/>
    <w:rsid w:val="007F66A6"/>
    <w:rsid w:val="007F7562"/>
    <w:rsid w:val="008063E9"/>
    <w:rsid w:val="00806F03"/>
    <w:rsid w:val="008212C9"/>
    <w:rsid w:val="00825809"/>
    <w:rsid w:val="008374EA"/>
    <w:rsid w:val="0083783F"/>
    <w:rsid w:val="0084474D"/>
    <w:rsid w:val="0084526B"/>
    <w:rsid w:val="00846C12"/>
    <w:rsid w:val="00865D4C"/>
    <w:rsid w:val="00872A0F"/>
    <w:rsid w:val="00873A13"/>
    <w:rsid w:val="00876A00"/>
    <w:rsid w:val="008820AA"/>
    <w:rsid w:val="00882CBC"/>
    <w:rsid w:val="0089134C"/>
    <w:rsid w:val="008A0154"/>
    <w:rsid w:val="008A3A1E"/>
    <w:rsid w:val="008B0E1F"/>
    <w:rsid w:val="008B4BD2"/>
    <w:rsid w:val="008B6A2D"/>
    <w:rsid w:val="008C5C3B"/>
    <w:rsid w:val="008D012A"/>
    <w:rsid w:val="008D1DA7"/>
    <w:rsid w:val="008D293D"/>
    <w:rsid w:val="008D3DF0"/>
    <w:rsid w:val="008D4D16"/>
    <w:rsid w:val="00903B6C"/>
    <w:rsid w:val="00905CC2"/>
    <w:rsid w:val="00914F51"/>
    <w:rsid w:val="009167DE"/>
    <w:rsid w:val="00917E21"/>
    <w:rsid w:val="00920048"/>
    <w:rsid w:val="009317C7"/>
    <w:rsid w:val="00934285"/>
    <w:rsid w:val="00937E0E"/>
    <w:rsid w:val="009412CD"/>
    <w:rsid w:val="00947C5F"/>
    <w:rsid w:val="0095352F"/>
    <w:rsid w:val="00954424"/>
    <w:rsid w:val="00961F1D"/>
    <w:rsid w:val="00962B6D"/>
    <w:rsid w:val="00964271"/>
    <w:rsid w:val="009661CE"/>
    <w:rsid w:val="00976DC2"/>
    <w:rsid w:val="00977438"/>
    <w:rsid w:val="009815AB"/>
    <w:rsid w:val="0098737D"/>
    <w:rsid w:val="00991513"/>
    <w:rsid w:val="00994F3D"/>
    <w:rsid w:val="00995CA4"/>
    <w:rsid w:val="00996DCB"/>
    <w:rsid w:val="00997BD5"/>
    <w:rsid w:val="009A5F83"/>
    <w:rsid w:val="009B6882"/>
    <w:rsid w:val="009D4DD6"/>
    <w:rsid w:val="009D6E5C"/>
    <w:rsid w:val="009E14F0"/>
    <w:rsid w:val="009E6556"/>
    <w:rsid w:val="009E692F"/>
    <w:rsid w:val="009E788B"/>
    <w:rsid w:val="009F1AA3"/>
    <w:rsid w:val="009F42C7"/>
    <w:rsid w:val="009F672C"/>
    <w:rsid w:val="00A07201"/>
    <w:rsid w:val="00A1125D"/>
    <w:rsid w:val="00A122E2"/>
    <w:rsid w:val="00A20339"/>
    <w:rsid w:val="00A2232D"/>
    <w:rsid w:val="00A23BF5"/>
    <w:rsid w:val="00A26848"/>
    <w:rsid w:val="00A427CB"/>
    <w:rsid w:val="00A42ECB"/>
    <w:rsid w:val="00A43D40"/>
    <w:rsid w:val="00A85958"/>
    <w:rsid w:val="00A90F7F"/>
    <w:rsid w:val="00A923C8"/>
    <w:rsid w:val="00A92B4E"/>
    <w:rsid w:val="00A935BD"/>
    <w:rsid w:val="00AA7E0C"/>
    <w:rsid w:val="00AB061A"/>
    <w:rsid w:val="00AB12F2"/>
    <w:rsid w:val="00AD3203"/>
    <w:rsid w:val="00AD5B73"/>
    <w:rsid w:val="00AD6025"/>
    <w:rsid w:val="00AE364D"/>
    <w:rsid w:val="00AE45D1"/>
    <w:rsid w:val="00AF30F4"/>
    <w:rsid w:val="00AF371A"/>
    <w:rsid w:val="00B00A58"/>
    <w:rsid w:val="00B01A5A"/>
    <w:rsid w:val="00B07F07"/>
    <w:rsid w:val="00B127BE"/>
    <w:rsid w:val="00B1589F"/>
    <w:rsid w:val="00B20262"/>
    <w:rsid w:val="00B23CEA"/>
    <w:rsid w:val="00B263FD"/>
    <w:rsid w:val="00B34E1C"/>
    <w:rsid w:val="00B36ADE"/>
    <w:rsid w:val="00B3725E"/>
    <w:rsid w:val="00B41095"/>
    <w:rsid w:val="00B61D4A"/>
    <w:rsid w:val="00B6230E"/>
    <w:rsid w:val="00B76CC7"/>
    <w:rsid w:val="00B77DE8"/>
    <w:rsid w:val="00B828E1"/>
    <w:rsid w:val="00B858C9"/>
    <w:rsid w:val="00B86EAB"/>
    <w:rsid w:val="00B939D1"/>
    <w:rsid w:val="00B968F0"/>
    <w:rsid w:val="00BA07BC"/>
    <w:rsid w:val="00BA2C2E"/>
    <w:rsid w:val="00BA3711"/>
    <w:rsid w:val="00BB141F"/>
    <w:rsid w:val="00BB1ABE"/>
    <w:rsid w:val="00BB35D4"/>
    <w:rsid w:val="00BC67F9"/>
    <w:rsid w:val="00BD2404"/>
    <w:rsid w:val="00BD3679"/>
    <w:rsid w:val="00BD7D10"/>
    <w:rsid w:val="00BE1812"/>
    <w:rsid w:val="00BE5D72"/>
    <w:rsid w:val="00BE7756"/>
    <w:rsid w:val="00BF22B5"/>
    <w:rsid w:val="00BF3629"/>
    <w:rsid w:val="00C01989"/>
    <w:rsid w:val="00C04D5E"/>
    <w:rsid w:val="00C05449"/>
    <w:rsid w:val="00C10661"/>
    <w:rsid w:val="00C1393B"/>
    <w:rsid w:val="00C13F7A"/>
    <w:rsid w:val="00C16071"/>
    <w:rsid w:val="00C2685C"/>
    <w:rsid w:val="00C409A3"/>
    <w:rsid w:val="00C521D9"/>
    <w:rsid w:val="00C5521D"/>
    <w:rsid w:val="00C62F00"/>
    <w:rsid w:val="00C70803"/>
    <w:rsid w:val="00C86944"/>
    <w:rsid w:val="00C87121"/>
    <w:rsid w:val="00C87165"/>
    <w:rsid w:val="00C93E1B"/>
    <w:rsid w:val="00C94732"/>
    <w:rsid w:val="00C95A25"/>
    <w:rsid w:val="00CA013F"/>
    <w:rsid w:val="00CA5433"/>
    <w:rsid w:val="00CA6B32"/>
    <w:rsid w:val="00CA79D1"/>
    <w:rsid w:val="00CB228B"/>
    <w:rsid w:val="00CB3A8A"/>
    <w:rsid w:val="00CB5DAF"/>
    <w:rsid w:val="00CB6CD5"/>
    <w:rsid w:val="00CC1F86"/>
    <w:rsid w:val="00CC4558"/>
    <w:rsid w:val="00CD123B"/>
    <w:rsid w:val="00CD1929"/>
    <w:rsid w:val="00CD30F4"/>
    <w:rsid w:val="00CD6ED5"/>
    <w:rsid w:val="00CE21B2"/>
    <w:rsid w:val="00CE4745"/>
    <w:rsid w:val="00CE5A8E"/>
    <w:rsid w:val="00CF1742"/>
    <w:rsid w:val="00CF7ECC"/>
    <w:rsid w:val="00D058CC"/>
    <w:rsid w:val="00D06157"/>
    <w:rsid w:val="00D134DC"/>
    <w:rsid w:val="00D14592"/>
    <w:rsid w:val="00D21605"/>
    <w:rsid w:val="00D310D9"/>
    <w:rsid w:val="00D313AA"/>
    <w:rsid w:val="00D3250A"/>
    <w:rsid w:val="00D37EA9"/>
    <w:rsid w:val="00D41348"/>
    <w:rsid w:val="00D47E31"/>
    <w:rsid w:val="00D7189A"/>
    <w:rsid w:val="00D7354F"/>
    <w:rsid w:val="00D87F1F"/>
    <w:rsid w:val="00DA2174"/>
    <w:rsid w:val="00DB0A92"/>
    <w:rsid w:val="00DB50A5"/>
    <w:rsid w:val="00DC1B97"/>
    <w:rsid w:val="00DD20A2"/>
    <w:rsid w:val="00DD7FBD"/>
    <w:rsid w:val="00DF479C"/>
    <w:rsid w:val="00E0130F"/>
    <w:rsid w:val="00E0189C"/>
    <w:rsid w:val="00E02B20"/>
    <w:rsid w:val="00E14E39"/>
    <w:rsid w:val="00E22C9B"/>
    <w:rsid w:val="00E303D8"/>
    <w:rsid w:val="00E32D65"/>
    <w:rsid w:val="00E370DE"/>
    <w:rsid w:val="00E42143"/>
    <w:rsid w:val="00E42486"/>
    <w:rsid w:val="00E465F3"/>
    <w:rsid w:val="00E62F11"/>
    <w:rsid w:val="00E632A6"/>
    <w:rsid w:val="00E71094"/>
    <w:rsid w:val="00E91CC7"/>
    <w:rsid w:val="00E924C0"/>
    <w:rsid w:val="00E95145"/>
    <w:rsid w:val="00EA0C15"/>
    <w:rsid w:val="00EB4055"/>
    <w:rsid w:val="00EC2A8C"/>
    <w:rsid w:val="00EC6CDD"/>
    <w:rsid w:val="00ED07D8"/>
    <w:rsid w:val="00ED6BB7"/>
    <w:rsid w:val="00EE209E"/>
    <w:rsid w:val="00EF1B5A"/>
    <w:rsid w:val="00EF4D88"/>
    <w:rsid w:val="00F0026D"/>
    <w:rsid w:val="00F0749D"/>
    <w:rsid w:val="00F07CA4"/>
    <w:rsid w:val="00F21106"/>
    <w:rsid w:val="00F21C4F"/>
    <w:rsid w:val="00F2452C"/>
    <w:rsid w:val="00F27108"/>
    <w:rsid w:val="00F311D3"/>
    <w:rsid w:val="00F315E4"/>
    <w:rsid w:val="00F3372E"/>
    <w:rsid w:val="00F350F2"/>
    <w:rsid w:val="00F351C8"/>
    <w:rsid w:val="00F4595B"/>
    <w:rsid w:val="00F460FD"/>
    <w:rsid w:val="00F5253A"/>
    <w:rsid w:val="00F55542"/>
    <w:rsid w:val="00F61B71"/>
    <w:rsid w:val="00F63452"/>
    <w:rsid w:val="00F6414B"/>
    <w:rsid w:val="00F6681D"/>
    <w:rsid w:val="00F70F58"/>
    <w:rsid w:val="00F73D54"/>
    <w:rsid w:val="00F75275"/>
    <w:rsid w:val="00F92F62"/>
    <w:rsid w:val="00FA30A0"/>
    <w:rsid w:val="00FA3297"/>
    <w:rsid w:val="00FE2348"/>
    <w:rsid w:val="00FE4E20"/>
    <w:rsid w:val="00FE5B67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AB4BFD8"/>
  <w15:chartTrackingRefBased/>
  <w15:docId w15:val="{F5479C42-6405-45EA-BD1F-40159D8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2A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2C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2D"/>
  </w:style>
  <w:style w:type="paragraph" w:styleId="Footer">
    <w:name w:val="footer"/>
    <w:basedOn w:val="Normal"/>
    <w:link w:val="FooterChar"/>
    <w:uiPriority w:val="99"/>
    <w:unhideWhenUsed/>
    <w:rsid w:val="003A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2D"/>
  </w:style>
  <w:style w:type="table" w:styleId="TableGrid">
    <w:name w:val="Table Grid"/>
    <w:basedOn w:val="TableNormal"/>
    <w:uiPriority w:val="39"/>
    <w:rsid w:val="00F4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odeshouse.ox.ac.uk/" TargetMode="External"/><Relationship Id="rId13" Type="http://schemas.openxmlformats.org/officeDocument/2006/relationships/hyperlink" Target="https://www.rhodeshouse.ox.ac.uk/scholarships/applying-for-inter-jurisdictional-consideration/" TargetMode="External"/><Relationship Id="rId18" Type="http://schemas.openxmlformats.org/officeDocument/2006/relationships/hyperlink" Target="mailto:fgsgradawards@uvic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hodeshouse.ox.ac.uk/scholarships/applications/global/" TargetMode="External"/><Relationship Id="rId17" Type="http://schemas.openxmlformats.org/officeDocument/2006/relationships/hyperlink" Target="mailto:fgsaward2@uvi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.ac.uk/admissions/graduate/applying-to-oxford/application-guide/qualifications-languages-fund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hodeshouse.ox.ac.uk/scholarships/constituency-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x.ac.uk/admissions/graduate/courses/courses-a-z-listing" TargetMode="External"/><Relationship Id="rId10" Type="http://schemas.openxmlformats.org/officeDocument/2006/relationships/hyperlink" Target="https://www.rhodeshouse.ox.ac.uk/scholarships/applications/canad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gsaward2@uvic.ca" TargetMode="External"/><Relationship Id="rId14" Type="http://schemas.openxmlformats.org/officeDocument/2006/relationships/hyperlink" Target="https://www.rhodeshouse.ox.ac.uk/scholarships/appl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AAF2-126A-4826-AC71-D66AF2F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Pender</dc:creator>
  <cp:keywords/>
  <dc:description/>
  <cp:lastModifiedBy>Lisa Pender</cp:lastModifiedBy>
  <cp:revision>390</cp:revision>
  <cp:lastPrinted>2024-04-11T23:03:00Z</cp:lastPrinted>
  <dcterms:created xsi:type="dcterms:W3CDTF">2023-02-16T20:38:00Z</dcterms:created>
  <dcterms:modified xsi:type="dcterms:W3CDTF">2024-04-24T19:42:00Z</dcterms:modified>
</cp:coreProperties>
</file>